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0267E" w14:textId="77777777" w:rsidR="005C2C48" w:rsidRDefault="00F72BA3" w:rsidP="00F72BA3">
      <w:pPr>
        <w:ind w:firstLine="360"/>
        <w:jc w:val="center"/>
      </w:pPr>
      <w:r>
        <w:t>CORRIGENDUM</w:t>
      </w:r>
    </w:p>
    <w:p w14:paraId="6E20267F" w14:textId="77777777" w:rsidR="00F72BA3" w:rsidRDefault="00F72BA3" w:rsidP="00F72BA3">
      <w:pPr>
        <w:ind w:firstLine="360"/>
        <w:jc w:val="center"/>
      </w:pPr>
    </w:p>
    <w:p w14:paraId="6E202680" w14:textId="2EF89993" w:rsidR="00610B9F" w:rsidRDefault="00013107" w:rsidP="003D0C4E">
      <w:pPr>
        <w:pStyle w:val="Prrafodelista"/>
        <w:numPr>
          <w:ilvl w:val="0"/>
          <w:numId w:val="3"/>
        </w:numPr>
      </w:pPr>
      <w:r>
        <w:t>Página 13</w:t>
      </w:r>
      <w:r w:rsidR="00610B9F">
        <w:t>: S</w:t>
      </w:r>
      <w:r>
        <w:t>e corrig</w:t>
      </w:r>
      <w:r w:rsidR="00610B9F">
        <w:t>e la numeración de las notas al pie en la versión</w:t>
      </w:r>
      <w:r w:rsidR="00000484">
        <w:t>.</w:t>
      </w:r>
    </w:p>
    <w:p w14:paraId="6E202681" w14:textId="77777777" w:rsidR="00013107" w:rsidRDefault="00013107" w:rsidP="00610B9F">
      <w:pPr>
        <w:pStyle w:val="Prrafodelista"/>
      </w:pPr>
      <w:r>
        <w:t xml:space="preserve">  </w:t>
      </w:r>
    </w:p>
    <w:p w14:paraId="6E202682" w14:textId="77777777" w:rsidR="003D0C4E" w:rsidRPr="00A16D11" w:rsidRDefault="00A16D11" w:rsidP="003D0C4E">
      <w:pPr>
        <w:pStyle w:val="Prrafodelista"/>
        <w:numPr>
          <w:ilvl w:val="0"/>
          <w:numId w:val="3"/>
        </w:numPr>
      </w:pPr>
      <w:r w:rsidRPr="00A16D11">
        <w:t>Pág</w:t>
      </w:r>
      <w:r>
        <w:t>ina</w:t>
      </w:r>
      <w:r w:rsidR="003D0C4E" w:rsidRPr="00A16D11">
        <w:t xml:space="preserve"> 15 Tabla 2, gases CH</w:t>
      </w:r>
      <w:r w:rsidR="003D0C4E" w:rsidRPr="00A16D11">
        <w:rPr>
          <w:vertAlign w:val="subscript"/>
        </w:rPr>
        <w:t>4</w:t>
      </w:r>
      <w:r w:rsidR="003D0C4E" w:rsidRPr="00A16D11">
        <w:t xml:space="preserve"> N</w:t>
      </w:r>
      <w:r w:rsidR="003D0C4E" w:rsidRPr="00A16D11">
        <w:rPr>
          <w:vertAlign w:val="subscript"/>
        </w:rPr>
        <w:t>2</w:t>
      </w:r>
      <w:r w:rsidR="003D0C4E" w:rsidRPr="00A16D11">
        <w:t>O</w:t>
      </w:r>
    </w:p>
    <w:p w14:paraId="6E202683" w14:textId="77777777" w:rsidR="00A16D11" w:rsidRDefault="003D0C4E" w:rsidP="003D0C4E">
      <w:pPr>
        <w:pStyle w:val="Prrafodelista"/>
      </w:pPr>
      <w:r w:rsidRPr="00A16D11">
        <w:t>Donde dice</w:t>
      </w:r>
      <w:r w:rsidR="00A16D11">
        <w:t xml:space="preserve"> “símbolo</w:t>
      </w:r>
      <w:r w:rsidRPr="00A16D11">
        <w:t xml:space="preserve"> </w:t>
      </w:r>
      <w:r w:rsidR="00A16D11">
        <w:t>check”</w:t>
      </w:r>
    </w:p>
    <w:p w14:paraId="6E202684" w14:textId="77777777" w:rsidR="004F256F" w:rsidRPr="00A16D11" w:rsidRDefault="00A16D11" w:rsidP="003D0C4E">
      <w:pPr>
        <w:pStyle w:val="Prrafodelista"/>
        <w:rPr>
          <w:rFonts w:cs="gobCL"/>
          <w:color w:val="3D3C3B"/>
        </w:rPr>
      </w:pPr>
      <w:r>
        <w:t>Se corrige por:</w:t>
      </w:r>
      <w:r w:rsidR="003D0C4E" w:rsidRPr="00A16D11">
        <w:t xml:space="preserve"> </w:t>
      </w:r>
      <w:r w:rsidR="004F256F" w:rsidRPr="0007351C">
        <w:rPr>
          <w:i/>
        </w:rPr>
        <w:t>“</w:t>
      </w:r>
      <w:r w:rsidR="004F256F" w:rsidRPr="0007351C">
        <w:rPr>
          <w:rFonts w:cs="gobCL"/>
          <w:i/>
          <w:color w:val="3D3C3B"/>
        </w:rPr>
        <w:t>Solo estimado para las emisiones</w:t>
      </w:r>
      <w:r w:rsidR="003D0C4E" w:rsidRPr="0007351C">
        <w:rPr>
          <w:rFonts w:cs="gobCL"/>
          <w:i/>
          <w:color w:val="3D3C3B"/>
        </w:rPr>
        <w:t xml:space="preserve"> </w:t>
      </w:r>
      <w:r w:rsidR="004F256F" w:rsidRPr="0007351C">
        <w:rPr>
          <w:rFonts w:cs="gobCL"/>
          <w:i/>
          <w:color w:val="3D3C3B"/>
        </w:rPr>
        <w:t>producto de los incendios forestales”</w:t>
      </w:r>
    </w:p>
    <w:p w14:paraId="6E202685" w14:textId="77777777" w:rsidR="003D0C4E" w:rsidRPr="00A16D11" w:rsidRDefault="003D0C4E" w:rsidP="003D0C4E">
      <w:pPr>
        <w:pStyle w:val="Prrafodelista"/>
      </w:pPr>
    </w:p>
    <w:p w14:paraId="6E202686" w14:textId="77777777" w:rsidR="00966234" w:rsidRPr="00966234" w:rsidRDefault="00A16D11" w:rsidP="003D0C4E">
      <w:pPr>
        <w:pStyle w:val="Prrafodelista"/>
        <w:numPr>
          <w:ilvl w:val="0"/>
          <w:numId w:val="3"/>
        </w:numPr>
      </w:pPr>
      <w:r w:rsidRPr="00A16D11">
        <w:rPr>
          <w:rFonts w:cs="gobCL"/>
          <w:color w:val="3D3C3B"/>
        </w:rPr>
        <w:t>Página</w:t>
      </w:r>
      <w:r w:rsidR="004F256F" w:rsidRPr="00A16D11">
        <w:rPr>
          <w:rFonts w:cs="gobCL"/>
          <w:color w:val="3D3C3B"/>
        </w:rPr>
        <w:t xml:space="preserve"> 24,tabla 3</w:t>
      </w:r>
      <w:r w:rsidR="00966234">
        <w:rPr>
          <w:rFonts w:cs="gobCL"/>
          <w:color w:val="3D3C3B"/>
        </w:rPr>
        <w:t>:</w:t>
      </w:r>
    </w:p>
    <w:p w14:paraId="6E202687" w14:textId="77777777" w:rsidR="00966234" w:rsidRPr="00966234" w:rsidRDefault="00966234" w:rsidP="00966234">
      <w:pPr>
        <w:pStyle w:val="Prrafodelista"/>
      </w:pPr>
      <w:r>
        <w:rPr>
          <w:rFonts w:cs="gobCL"/>
          <w:color w:val="3D3C3B"/>
        </w:rPr>
        <w:t>Se corrigen los periodos</w:t>
      </w:r>
      <w:r w:rsidR="00D451FC">
        <w:rPr>
          <w:rFonts w:cs="gobCL"/>
          <w:color w:val="3D3C3B"/>
        </w:rPr>
        <w:t xml:space="preserve"> a </w:t>
      </w:r>
    </w:p>
    <w:p w14:paraId="6E202688" w14:textId="77777777" w:rsidR="00966234" w:rsidRDefault="00966234" w:rsidP="00966234">
      <w:pPr>
        <w:pStyle w:val="Prrafodelista"/>
      </w:pPr>
      <w:r>
        <w:t xml:space="preserve">Cambios </w:t>
      </w:r>
      <w:r w:rsidR="00D451FC">
        <w:t xml:space="preserve">de uso: </w:t>
      </w:r>
      <w:r>
        <w:t>2014/2016 &amp; 2017/2018</w:t>
      </w:r>
    </w:p>
    <w:p w14:paraId="6E202689" w14:textId="77777777" w:rsidR="00966234" w:rsidRDefault="00966234" w:rsidP="00966234">
      <w:pPr>
        <w:pStyle w:val="Prrafodelista"/>
      </w:pPr>
      <w:r>
        <w:t>Bosque permanente</w:t>
      </w:r>
      <w:r w:rsidR="00D451FC">
        <w:t>:</w:t>
      </w:r>
      <w:r>
        <w:t xml:space="preserve"> 2011/2015 &amp; 2016/2018</w:t>
      </w:r>
    </w:p>
    <w:p w14:paraId="6E20268A" w14:textId="77777777" w:rsidR="003D0C4E" w:rsidRPr="00A16D11" w:rsidRDefault="00E40664" w:rsidP="00E40664">
      <w:pPr>
        <w:pStyle w:val="Prrafodelista"/>
      </w:pPr>
      <w:r>
        <w:rPr>
          <w:rFonts w:cs="gobCL"/>
          <w:color w:val="3D3C3B"/>
        </w:rPr>
        <w:t xml:space="preserve">Y </w:t>
      </w:r>
      <w:r w:rsidR="004F256F" w:rsidRPr="00A16D11">
        <w:rPr>
          <w:rFonts w:cs="gobCL"/>
          <w:color w:val="3D3C3B"/>
        </w:rPr>
        <w:t xml:space="preserve"> </w:t>
      </w:r>
      <w:r w:rsidR="003D0C4E" w:rsidRPr="00A16D11">
        <w:t>gases CH</w:t>
      </w:r>
      <w:r w:rsidR="003D0C4E" w:rsidRPr="00A16D11">
        <w:rPr>
          <w:vertAlign w:val="subscript"/>
        </w:rPr>
        <w:t>4</w:t>
      </w:r>
      <w:r w:rsidR="003D0C4E" w:rsidRPr="00A16D11">
        <w:t xml:space="preserve"> N</w:t>
      </w:r>
      <w:r w:rsidR="003D0C4E" w:rsidRPr="00A16D11">
        <w:rPr>
          <w:vertAlign w:val="subscript"/>
        </w:rPr>
        <w:t>2</w:t>
      </w:r>
      <w:r w:rsidR="003D0C4E" w:rsidRPr="00A16D11">
        <w:t>O,</w:t>
      </w:r>
    </w:p>
    <w:p w14:paraId="6E20268B" w14:textId="77777777" w:rsidR="00A16D11" w:rsidRDefault="00A16D11" w:rsidP="00A16D11">
      <w:pPr>
        <w:pStyle w:val="Prrafodelista"/>
      </w:pPr>
      <w:r w:rsidRPr="00A16D11">
        <w:t>Donde dice</w:t>
      </w:r>
      <w:r>
        <w:t xml:space="preserve"> “símbolo</w:t>
      </w:r>
      <w:r w:rsidRPr="00A16D11">
        <w:t xml:space="preserve"> </w:t>
      </w:r>
      <w:r>
        <w:t>check”</w:t>
      </w:r>
    </w:p>
    <w:p w14:paraId="6E20268C" w14:textId="77777777" w:rsidR="00A16D11" w:rsidRDefault="0007351C" w:rsidP="00A16D11">
      <w:pPr>
        <w:pStyle w:val="Prrafodelista"/>
      </w:pPr>
      <w:r>
        <w:t>Se corrige por</w:t>
      </w:r>
      <w:r w:rsidR="00A16D11">
        <w:t>:</w:t>
      </w:r>
      <w:r w:rsidR="00A16D11" w:rsidRPr="00A16D11">
        <w:t xml:space="preserve"> “</w:t>
      </w:r>
      <w:r w:rsidR="00A16D11" w:rsidRPr="0007351C">
        <w:rPr>
          <w:i/>
        </w:rPr>
        <w:t>Solo estimado para las emisiones producto de los incendios forestales”</w:t>
      </w:r>
    </w:p>
    <w:p w14:paraId="6E20268D" w14:textId="77777777" w:rsidR="00A16D11" w:rsidRPr="00A16D11" w:rsidRDefault="00A16D11" w:rsidP="00A16D11">
      <w:pPr>
        <w:pStyle w:val="Prrafodelista"/>
      </w:pPr>
    </w:p>
    <w:p w14:paraId="6E20268E" w14:textId="77777777" w:rsidR="004F256F" w:rsidRPr="00A16D11" w:rsidRDefault="00A16D11" w:rsidP="003D0C4E">
      <w:pPr>
        <w:pStyle w:val="Prrafodelista"/>
        <w:numPr>
          <w:ilvl w:val="0"/>
          <w:numId w:val="3"/>
        </w:numPr>
      </w:pPr>
      <w:r w:rsidRPr="00A16D11">
        <w:t>Página</w:t>
      </w:r>
      <w:r w:rsidR="004F256F" w:rsidRPr="00A16D11">
        <w:t xml:space="preserve"> 28, consideracio</w:t>
      </w:r>
      <w:r w:rsidR="003D0C4E" w:rsidRPr="00A16D11">
        <w:t>nes sobre Degradación Forestal, Párrafo 1</w:t>
      </w:r>
    </w:p>
    <w:p w14:paraId="6E20268F" w14:textId="77777777" w:rsidR="003D0C4E" w:rsidRPr="00A16D11" w:rsidRDefault="003D0C4E" w:rsidP="001546AF">
      <w:pPr>
        <w:pStyle w:val="Prrafodelista"/>
        <w:ind w:firstLine="348"/>
      </w:pPr>
      <w:r w:rsidRPr="00A16D11">
        <w:t xml:space="preserve">Donde dice: </w:t>
      </w:r>
    </w:p>
    <w:p w14:paraId="6E202690" w14:textId="77777777" w:rsidR="0060694D" w:rsidRPr="0007351C" w:rsidRDefault="0060694D" w:rsidP="001546AF">
      <w:pPr>
        <w:pStyle w:val="Prrafodelista"/>
        <w:numPr>
          <w:ilvl w:val="0"/>
          <w:numId w:val="1"/>
        </w:numPr>
        <w:ind w:left="1068"/>
        <w:rPr>
          <w:i/>
        </w:rPr>
      </w:pPr>
      <w:r w:rsidRPr="0007351C">
        <w:rPr>
          <w:i/>
        </w:rPr>
        <w:t>Tanto en el NREF/NRF como en el periodo de monitoreo de resultados, el contenido de carbono de las plantaciones después de la transformación desde bosque nativo, será considerado “0” como consecuencia del proceso de eliminación de la vegetación, necesario para el establecimiento de una plantación. La contabilidad de los flujos de carbono en las plantaciones no será incluida en la contabilidad para REDD+, pero sí en el INGEI.</w:t>
      </w:r>
    </w:p>
    <w:p w14:paraId="6E202691" w14:textId="77777777" w:rsidR="001546AF" w:rsidRPr="00A16D11" w:rsidRDefault="001546AF" w:rsidP="001546AF">
      <w:pPr>
        <w:pStyle w:val="Prrafodelista"/>
        <w:ind w:left="1068"/>
      </w:pPr>
    </w:p>
    <w:p w14:paraId="6E202692" w14:textId="77777777" w:rsidR="0060694D" w:rsidRPr="00A16D11" w:rsidRDefault="0007351C" w:rsidP="001546AF">
      <w:pPr>
        <w:pStyle w:val="Prrafodelista"/>
        <w:ind w:left="1068"/>
      </w:pPr>
      <w:r>
        <w:t>Se corrige por:</w:t>
      </w:r>
    </w:p>
    <w:p w14:paraId="6E202693" w14:textId="77777777" w:rsidR="004F256F" w:rsidRPr="0007351C" w:rsidRDefault="004F256F" w:rsidP="001546AF">
      <w:pPr>
        <w:numPr>
          <w:ilvl w:val="0"/>
          <w:numId w:val="4"/>
        </w:numPr>
        <w:ind w:left="1068"/>
        <w:jc w:val="both"/>
        <w:rPr>
          <w:i/>
        </w:rPr>
      </w:pPr>
      <w:r w:rsidRPr="0007351C">
        <w:rPr>
          <w:i/>
        </w:rPr>
        <w:t xml:space="preserve">Tanto en el NREF/NRF como en el periodo de monitoreo de resultados, el contenido de carbono es considerado con un valor “0”, cuando el bosque nativo es convertido a plantaciones forestales. Esto es consecuencia del proceso de eliminación de la vegetación, necesario para el establecimiento de una plantación. La contabilidad de los flujos de carbono en las plantaciones no será incluida en la contabilidad para REDD+, sino solo para el INGEI. </w:t>
      </w:r>
    </w:p>
    <w:p w14:paraId="6E202694" w14:textId="77777777" w:rsidR="0060694D" w:rsidRDefault="004F256F" w:rsidP="0060694D">
      <w:pPr>
        <w:pStyle w:val="Prrafodelista"/>
        <w:numPr>
          <w:ilvl w:val="0"/>
          <w:numId w:val="3"/>
        </w:numPr>
      </w:pPr>
      <w:r w:rsidRPr="00A16D11">
        <w:t>Página 28, consideraciones generales sobre la definición de actividades</w:t>
      </w:r>
      <w:r w:rsidR="0060694D" w:rsidRPr="00A16D11">
        <w:t>, párrafo 1:</w:t>
      </w:r>
    </w:p>
    <w:p w14:paraId="6E202695" w14:textId="77777777" w:rsidR="0060694D" w:rsidRPr="00A16D11" w:rsidRDefault="0060694D" w:rsidP="0060694D">
      <w:pPr>
        <w:pStyle w:val="Prrafodelista"/>
      </w:pPr>
      <w:r w:rsidRPr="00A16D11">
        <w:t xml:space="preserve">Donde dice: </w:t>
      </w:r>
    </w:p>
    <w:p w14:paraId="6E202696" w14:textId="77777777" w:rsidR="0060694D" w:rsidRPr="0007351C" w:rsidRDefault="0060694D" w:rsidP="0060694D">
      <w:pPr>
        <w:pStyle w:val="Prrafodelista"/>
        <w:rPr>
          <w:i/>
        </w:rPr>
      </w:pPr>
      <w:r w:rsidRPr="0007351C">
        <w:rPr>
          <w:i/>
        </w:rPr>
        <w:t xml:space="preserve">La reducción de emisiones y absorción producto de las actividades REDD+, han sido estimadas utilizando metodologías </w:t>
      </w:r>
      <w:r w:rsidR="0007351C" w:rsidRPr="0007351C">
        <w:rPr>
          <w:i/>
        </w:rPr>
        <w:t>IPCC diferenciadas</w:t>
      </w:r>
    </w:p>
    <w:p w14:paraId="6E202697" w14:textId="77777777" w:rsidR="0007351C" w:rsidRDefault="0007351C" w:rsidP="0060694D">
      <w:pPr>
        <w:pStyle w:val="Prrafodelista"/>
      </w:pPr>
    </w:p>
    <w:p w14:paraId="6E202698" w14:textId="77777777" w:rsidR="0060694D" w:rsidRPr="00A16D11" w:rsidRDefault="0060694D" w:rsidP="0060694D">
      <w:pPr>
        <w:pStyle w:val="Prrafodelista"/>
      </w:pPr>
      <w:r w:rsidRPr="00A16D11">
        <w:t xml:space="preserve">Se ha corregido por: </w:t>
      </w:r>
    </w:p>
    <w:p w14:paraId="6E202699" w14:textId="77777777" w:rsidR="0060694D" w:rsidRDefault="0060694D" w:rsidP="0060694D">
      <w:pPr>
        <w:pStyle w:val="Prrafodelista"/>
        <w:rPr>
          <w:rFonts w:cs="gobCL"/>
          <w:i/>
        </w:rPr>
      </w:pPr>
      <w:r w:rsidRPr="0007351C">
        <w:rPr>
          <w:rFonts w:cs="gobCL"/>
          <w:i/>
          <w:color w:val="3D3C3B"/>
        </w:rPr>
        <w:t xml:space="preserve">Las emisiones y absorciones producto de las actividades REDD+, han sido estimadas utilizando metodologías IPCC </w:t>
      </w:r>
      <w:r w:rsidRPr="0007351C">
        <w:rPr>
          <w:rFonts w:cs="gobCL"/>
          <w:i/>
        </w:rPr>
        <w:t>diferenciadas</w:t>
      </w:r>
    </w:p>
    <w:p w14:paraId="6E20269A" w14:textId="77777777" w:rsidR="00271569" w:rsidRDefault="00271569" w:rsidP="0060694D">
      <w:pPr>
        <w:pStyle w:val="Prrafodelista"/>
        <w:rPr>
          <w:rFonts w:cs="gobCL"/>
          <w:i/>
          <w:color w:val="3D3C3B"/>
        </w:rPr>
      </w:pPr>
    </w:p>
    <w:p w14:paraId="6E20269B" w14:textId="3E2EC523" w:rsidR="00271569" w:rsidRDefault="00365315" w:rsidP="00271569">
      <w:pPr>
        <w:pStyle w:val="Prrafodelista"/>
        <w:numPr>
          <w:ilvl w:val="0"/>
          <w:numId w:val="3"/>
        </w:numPr>
      </w:pPr>
      <w:r w:rsidRPr="00A16D11">
        <w:lastRenderedPageBreak/>
        <w:t>Página</w:t>
      </w:r>
      <w:r w:rsidR="00271569">
        <w:t xml:space="preserve"> 29, tabla 4: </w:t>
      </w:r>
    </w:p>
    <w:p w14:paraId="6E20269C" w14:textId="264C6331" w:rsidR="00271569" w:rsidRDefault="00271569" w:rsidP="00271569">
      <w:pPr>
        <w:pStyle w:val="Prrafodelista"/>
      </w:pPr>
      <w:r>
        <w:t xml:space="preserve">Se elimina de la tabla el texto de la columna de bosque permanente para deforestación pues no corresponde. </w:t>
      </w:r>
    </w:p>
    <w:p w14:paraId="5B8603C6" w14:textId="5FA0BA24" w:rsidR="00F65083" w:rsidRDefault="009D4785" w:rsidP="00B95463">
      <w:pPr>
        <w:pStyle w:val="Prrafodelista"/>
        <w:numPr>
          <w:ilvl w:val="0"/>
          <w:numId w:val="3"/>
        </w:numPr>
      </w:pPr>
      <w:r>
        <w:t>Página</w:t>
      </w:r>
      <w:r w:rsidR="000D5C96">
        <w:t xml:space="preserve"> 30, Tabla 5:</w:t>
      </w:r>
    </w:p>
    <w:p w14:paraId="3F683711" w14:textId="017EC6ED" w:rsidR="000D5C96" w:rsidRDefault="000D5C96" w:rsidP="000D5C96">
      <w:pPr>
        <w:pStyle w:val="Prrafodelista"/>
        <w:rPr>
          <w:i/>
        </w:rPr>
      </w:pPr>
      <w:r>
        <w:t xml:space="preserve">-Se Agrega la definición de </w:t>
      </w:r>
      <w:r w:rsidRPr="000F2A3C">
        <w:t>N/A al final de la tabla</w:t>
      </w:r>
      <w:r w:rsidRPr="000F2A3C">
        <w:rPr>
          <w:i/>
        </w:rPr>
        <w:t>:</w:t>
      </w:r>
      <w:r w:rsidR="00C7083E" w:rsidRPr="00C7083E">
        <w:t xml:space="preserve"> </w:t>
      </w:r>
      <w:r w:rsidR="00C7083E" w:rsidRPr="000F2A3C">
        <w:t xml:space="preserve">N/A </w:t>
      </w:r>
      <w:r w:rsidR="00C7083E">
        <w:t>=</w:t>
      </w:r>
      <w:r w:rsidRPr="000F2A3C">
        <w:rPr>
          <w:i/>
        </w:rPr>
        <w:t xml:space="preserve"> No Aplica</w:t>
      </w:r>
    </w:p>
    <w:p w14:paraId="511F78C0" w14:textId="77777777" w:rsidR="000D5C96" w:rsidRPr="00A16D11" w:rsidRDefault="000D5C96" w:rsidP="00271569">
      <w:pPr>
        <w:pStyle w:val="Prrafodelista"/>
      </w:pPr>
    </w:p>
    <w:p w14:paraId="6E20269E" w14:textId="77777777" w:rsidR="006E3D3F" w:rsidRPr="00A16D11" w:rsidRDefault="006E3D3F" w:rsidP="0060694D">
      <w:pPr>
        <w:pStyle w:val="Prrafodelista"/>
        <w:numPr>
          <w:ilvl w:val="0"/>
          <w:numId w:val="3"/>
        </w:numPr>
      </w:pPr>
      <w:r w:rsidRPr="00A16D11">
        <w:t xml:space="preserve">Página 36, pie de tabla 6, </w:t>
      </w:r>
      <w:r w:rsidR="0060694D" w:rsidRPr="00A16D11">
        <w:t>corrige párrafo</w:t>
      </w:r>
    </w:p>
    <w:p w14:paraId="6E20269F" w14:textId="77777777" w:rsidR="000F2A3C" w:rsidRDefault="000F2A3C" w:rsidP="000F2A3C">
      <w:pPr>
        <w:pStyle w:val="Prrafodelista"/>
      </w:pPr>
    </w:p>
    <w:p w14:paraId="6E2026A0" w14:textId="5FEBBEAE" w:rsidR="000F2A3C" w:rsidRDefault="008B1959" w:rsidP="000F2A3C">
      <w:pPr>
        <w:pStyle w:val="Prrafodelista"/>
        <w:rPr>
          <w:i/>
        </w:rPr>
      </w:pPr>
      <w:r>
        <w:t>-</w:t>
      </w:r>
      <w:r w:rsidR="000F2A3C">
        <w:t xml:space="preserve">Se Agrega la definición de </w:t>
      </w:r>
      <w:r w:rsidR="000F2A3C" w:rsidRPr="000F2A3C">
        <w:t>N/A al final de la tabla</w:t>
      </w:r>
      <w:r w:rsidR="000F2A3C" w:rsidRPr="000F2A3C">
        <w:rPr>
          <w:i/>
        </w:rPr>
        <w:t>:</w:t>
      </w:r>
      <w:r w:rsidR="00020AC1">
        <w:rPr>
          <w:i/>
        </w:rPr>
        <w:t xml:space="preserve"> </w:t>
      </w:r>
      <w:r w:rsidR="000F2A3C" w:rsidRPr="000F2A3C">
        <w:rPr>
          <w:i/>
        </w:rPr>
        <w:t xml:space="preserve"> </w:t>
      </w:r>
      <w:r w:rsidR="00B95463" w:rsidRPr="000F2A3C">
        <w:t xml:space="preserve">N/A </w:t>
      </w:r>
      <w:r w:rsidR="00B95463">
        <w:t>=</w:t>
      </w:r>
      <w:r w:rsidR="000F2A3C" w:rsidRPr="000F2A3C">
        <w:rPr>
          <w:i/>
        </w:rPr>
        <w:t>No Aplica</w:t>
      </w:r>
    </w:p>
    <w:p w14:paraId="6E2026A1" w14:textId="77777777" w:rsidR="000F2A3C" w:rsidRPr="00A16D11" w:rsidRDefault="000F2A3C" w:rsidP="0060694D">
      <w:pPr>
        <w:pStyle w:val="Prrafodelista"/>
      </w:pPr>
    </w:p>
    <w:p w14:paraId="6E2026A2" w14:textId="77777777" w:rsidR="0060694D" w:rsidRPr="00A16D11" w:rsidRDefault="0060694D" w:rsidP="0060694D">
      <w:pPr>
        <w:pStyle w:val="Prrafodelista"/>
      </w:pPr>
      <w:r w:rsidRPr="00A16D11">
        <w:t xml:space="preserve">Donde dice: </w:t>
      </w:r>
    </w:p>
    <w:p w14:paraId="6E2026A3" w14:textId="77777777" w:rsidR="0060694D" w:rsidRDefault="0060694D" w:rsidP="0060694D">
      <w:pPr>
        <w:pStyle w:val="Prrafodelista"/>
        <w:rPr>
          <w:i/>
        </w:rPr>
      </w:pPr>
      <w:r w:rsidRPr="0007351C">
        <w:rPr>
          <w:i/>
        </w:rPr>
        <w:t>*Como se explica en el NREF/NRF, debido a un cambio en los criterios legales y operativos de definición de bosque nativo, las áreas calificadas por el Catastro base de 1997 y las actualizaciones posteriores como Matorral Arborescente, constituyen bosque de acuerdo a sus características de cobertura, composición y superficie mínima. Sin embargo, durante el desarrollo del Mapa de Cambios de Uso de la Tierra 2013/2017, se aplican los criterios operativos y legales de forma ajustada a las definiciones actuales, por lo que las áreas identificadas como Matorral Arborescente, sí corresponden a este uso de la tierra.</w:t>
      </w:r>
    </w:p>
    <w:p w14:paraId="6E2026A4" w14:textId="77777777" w:rsidR="0007351C" w:rsidRPr="0007351C" w:rsidRDefault="0007351C" w:rsidP="0060694D">
      <w:pPr>
        <w:pStyle w:val="Prrafodelista"/>
        <w:rPr>
          <w:i/>
        </w:rPr>
      </w:pPr>
    </w:p>
    <w:p w14:paraId="6E2026A5" w14:textId="77777777" w:rsidR="0060694D" w:rsidRPr="0007351C" w:rsidRDefault="0060694D" w:rsidP="0060694D">
      <w:pPr>
        <w:pStyle w:val="Prrafodelista"/>
        <w:rPr>
          <w:i/>
        </w:rPr>
      </w:pPr>
      <w:r w:rsidRPr="0007351C">
        <w:rPr>
          <w:i/>
        </w:rPr>
        <w:t>**Incluido el Matorral arborescente para el caso de los mapas utilizados en la elaboración de este Anexo de resultados de REDD+.</w:t>
      </w:r>
    </w:p>
    <w:p w14:paraId="6E2026A6" w14:textId="77777777" w:rsidR="0060694D" w:rsidRPr="00A16D11" w:rsidRDefault="0060694D" w:rsidP="0060694D">
      <w:pPr>
        <w:pStyle w:val="Prrafodelista"/>
      </w:pPr>
    </w:p>
    <w:p w14:paraId="6E2026A7" w14:textId="77777777" w:rsidR="000F2A3C" w:rsidRPr="000F2A3C" w:rsidRDefault="0060694D" w:rsidP="000F2A3C">
      <w:pPr>
        <w:pStyle w:val="Prrafodelista"/>
      </w:pPr>
      <w:r w:rsidRPr="00A16D11">
        <w:t>Se corrige por:</w:t>
      </w:r>
    </w:p>
    <w:p w14:paraId="6E2026A8" w14:textId="77777777" w:rsidR="0060694D" w:rsidRPr="0007351C" w:rsidRDefault="0060694D" w:rsidP="0060694D">
      <w:pPr>
        <w:pStyle w:val="Prrafodelista"/>
        <w:rPr>
          <w:i/>
        </w:rPr>
      </w:pPr>
      <w:r w:rsidRPr="0007351C">
        <w:rPr>
          <w:i/>
        </w:rPr>
        <w:t xml:space="preserve">*Como se explica en el NREF/NRF, debido a un cambio en los criterios legales y operativos de </w:t>
      </w:r>
      <w:r w:rsidR="005A4387">
        <w:rPr>
          <w:i/>
        </w:rPr>
        <w:t xml:space="preserve">la </w:t>
      </w:r>
      <w:r w:rsidRPr="0007351C">
        <w:rPr>
          <w:i/>
        </w:rPr>
        <w:t>definición de bosque nativo, las áreas calificadas por el Catastro base de 1997 y las actualizaciones posteriores como Matorral Arborescente, constituyen bosque de acuerdo a sus características de cobertura, composición y superficie mínima.</w:t>
      </w:r>
    </w:p>
    <w:p w14:paraId="6E2026A9" w14:textId="77777777" w:rsidR="005A4387" w:rsidRDefault="005A4387" w:rsidP="0060694D">
      <w:pPr>
        <w:pStyle w:val="Prrafodelista"/>
      </w:pPr>
    </w:p>
    <w:p w14:paraId="6E2026AA" w14:textId="77777777" w:rsidR="0060694D" w:rsidRDefault="00265F03" w:rsidP="0060694D">
      <w:pPr>
        <w:pStyle w:val="Prrafodelista"/>
      </w:pPr>
      <w:r>
        <w:t>** eliminado</w:t>
      </w:r>
    </w:p>
    <w:p w14:paraId="6E2026AB" w14:textId="77777777" w:rsidR="00265F03" w:rsidRPr="00A16D11" w:rsidRDefault="00265F03" w:rsidP="0060694D">
      <w:pPr>
        <w:pStyle w:val="Prrafodelista"/>
      </w:pPr>
    </w:p>
    <w:p w14:paraId="6E2026AC" w14:textId="77777777" w:rsidR="001546AF" w:rsidRPr="00A16D11" w:rsidRDefault="000B23C5" w:rsidP="006E3D3F">
      <w:pPr>
        <w:pStyle w:val="Prrafodelista"/>
        <w:numPr>
          <w:ilvl w:val="0"/>
          <w:numId w:val="3"/>
        </w:numPr>
      </w:pPr>
      <w:r w:rsidRPr="00A16D11">
        <w:t xml:space="preserve">Página 36, tratamiento del matorral </w:t>
      </w:r>
      <w:r w:rsidR="0007351C" w:rsidRPr="00A16D11">
        <w:t>arborescente</w:t>
      </w:r>
      <w:r w:rsidRPr="00A16D11">
        <w:t xml:space="preserve">, párrafo 2 </w:t>
      </w:r>
    </w:p>
    <w:p w14:paraId="6E2026AD" w14:textId="77777777" w:rsidR="001546AF" w:rsidRPr="00A16D11" w:rsidRDefault="001546AF" w:rsidP="001546AF">
      <w:pPr>
        <w:ind w:left="360" w:firstLine="348"/>
      </w:pPr>
      <w:r w:rsidRPr="00A16D11">
        <w:t xml:space="preserve">Donde dice, </w:t>
      </w:r>
    </w:p>
    <w:p w14:paraId="6E2026AE" w14:textId="77777777" w:rsidR="001546AF" w:rsidRPr="0007351C" w:rsidRDefault="001546AF" w:rsidP="001546AF">
      <w:pPr>
        <w:ind w:left="708"/>
        <w:rPr>
          <w:i/>
        </w:rPr>
      </w:pPr>
      <w:r w:rsidRPr="0007351C">
        <w:rPr>
          <w:i/>
        </w:rPr>
        <w:t>Sin embargo, todas las superficies categorizadas en los mapas utilizados en este Anexo de resultados REDD+ como matorral arborescente, donde se aplican los criterios operativos y legales actualizados de forma consistente, no conforman bosque nativo en ningún caso.</w:t>
      </w:r>
    </w:p>
    <w:p w14:paraId="6E2026AF" w14:textId="77777777" w:rsidR="001546AF" w:rsidRPr="00A16D11" w:rsidRDefault="001546AF" w:rsidP="001546AF">
      <w:r w:rsidRPr="00A16D11">
        <w:tab/>
        <w:t>Se corrige por:</w:t>
      </w:r>
    </w:p>
    <w:p w14:paraId="6E2026B0" w14:textId="77777777" w:rsidR="001546AF" w:rsidRPr="0007351C" w:rsidRDefault="001546AF" w:rsidP="001546AF">
      <w:pPr>
        <w:ind w:left="708"/>
        <w:jc w:val="both"/>
        <w:rPr>
          <w:i/>
        </w:rPr>
      </w:pPr>
      <w:r w:rsidRPr="0007351C">
        <w:rPr>
          <w:i/>
        </w:rPr>
        <w:t xml:space="preserve">Sin embargo, las superficies categorizadas como matorral arborescente en los mapas de Catastro utilizados en este Anexo de resultados REDD+, en las regiones con una actualización a partir de 2015 no </w:t>
      </w:r>
      <w:r w:rsidRPr="0007351C">
        <w:rPr>
          <w:i/>
        </w:rPr>
        <w:lastRenderedPageBreak/>
        <w:t>conforman bosque nativo y se consideran para efectos de contabilidad de carbono como otros usos de la tierra.</w:t>
      </w:r>
    </w:p>
    <w:p w14:paraId="6E2026B1" w14:textId="77777777" w:rsidR="006E3D3F" w:rsidRDefault="001546AF" w:rsidP="006E3D3F">
      <w:pPr>
        <w:pStyle w:val="Prrafodelista"/>
        <w:numPr>
          <w:ilvl w:val="0"/>
          <w:numId w:val="3"/>
        </w:numPr>
      </w:pPr>
      <w:r w:rsidRPr="00A16D11">
        <w:t xml:space="preserve">Página 36, tratamiento del matorral, </w:t>
      </w:r>
      <w:r w:rsidR="000B23C5" w:rsidRPr="00A16D11">
        <w:t>criterios</w:t>
      </w:r>
      <w:r w:rsidRPr="00A16D11">
        <w:t xml:space="preserve"> 1 y 2</w:t>
      </w:r>
    </w:p>
    <w:p w14:paraId="6E2026B2" w14:textId="77777777" w:rsidR="001546AF" w:rsidRPr="00A16D11" w:rsidRDefault="001546AF" w:rsidP="001546AF">
      <w:pPr>
        <w:pStyle w:val="Prrafodelista"/>
      </w:pPr>
      <w:r w:rsidRPr="00A16D11">
        <w:t xml:space="preserve">Donde dice: </w:t>
      </w:r>
    </w:p>
    <w:p w14:paraId="6E2026B3" w14:textId="77777777" w:rsidR="00D65A1F" w:rsidRDefault="00D65A1F" w:rsidP="00D65A1F">
      <w:pPr>
        <w:pStyle w:val="Prrafodelista"/>
        <w:numPr>
          <w:ilvl w:val="0"/>
          <w:numId w:val="5"/>
        </w:numPr>
        <w:rPr>
          <w:i/>
        </w:rPr>
      </w:pPr>
      <w:r w:rsidRPr="00D65A1F">
        <w:rPr>
          <w:i/>
        </w:rPr>
        <w:t>La superficie considerada como matorral arborescente en los mapas utilizados en el NREF/NRF estaba integrada</w:t>
      </w:r>
      <w:r>
        <w:rPr>
          <w:i/>
        </w:rPr>
        <w:t xml:space="preserve"> </w:t>
      </w:r>
      <w:r w:rsidRPr="00D65A1F">
        <w:rPr>
          <w:i/>
        </w:rPr>
        <w:t>dentro de la categoría de bosque nativo. Sin embargo, para los mapas utilizados en este Anexo de resultados REDD+</w:t>
      </w:r>
      <w:r>
        <w:rPr>
          <w:i/>
        </w:rPr>
        <w:t xml:space="preserve"> </w:t>
      </w:r>
      <w:r w:rsidRPr="00D65A1F">
        <w:rPr>
          <w:i/>
        </w:rPr>
        <w:t>se categoriza como otros usos de la tierra.</w:t>
      </w:r>
    </w:p>
    <w:p w14:paraId="6E2026B4" w14:textId="77777777" w:rsidR="00D65A1F" w:rsidRPr="00D65A1F" w:rsidRDefault="00D65A1F" w:rsidP="00D65A1F">
      <w:pPr>
        <w:pStyle w:val="Prrafodelista"/>
        <w:ind w:left="1068"/>
        <w:rPr>
          <w:i/>
        </w:rPr>
      </w:pPr>
    </w:p>
    <w:p w14:paraId="6E2026B5" w14:textId="77777777" w:rsidR="001546AF" w:rsidRPr="0007351C" w:rsidRDefault="001546AF" w:rsidP="00D65A1F">
      <w:pPr>
        <w:pStyle w:val="Prrafodelista"/>
        <w:numPr>
          <w:ilvl w:val="0"/>
          <w:numId w:val="5"/>
        </w:numPr>
        <w:rPr>
          <w:i/>
        </w:rPr>
      </w:pPr>
      <w:r w:rsidRPr="0007351C">
        <w:rPr>
          <w:i/>
        </w:rPr>
        <w:t>Los cambios de uso desde matorral arborescente a otros usos de la tierra distintos al uso bosque nativo no son considerados como deforestación. Sin embargo, la conversión de bosque nativo a matorral arborescente, sí es considerada dentro de esta actividad.</w:t>
      </w:r>
    </w:p>
    <w:p w14:paraId="6E2026B6" w14:textId="77777777" w:rsidR="001546AF" w:rsidRPr="00A16D11" w:rsidRDefault="001546AF" w:rsidP="001546AF">
      <w:pPr>
        <w:ind w:left="708"/>
      </w:pPr>
      <w:r w:rsidRPr="00A16D11">
        <w:t>Debe decir:</w:t>
      </w:r>
    </w:p>
    <w:p w14:paraId="6E2026B7" w14:textId="77777777" w:rsidR="001546AF" w:rsidRPr="0007351C" w:rsidRDefault="001546AF" w:rsidP="001546AF">
      <w:pPr>
        <w:pStyle w:val="Prrafodelista"/>
        <w:numPr>
          <w:ilvl w:val="0"/>
          <w:numId w:val="6"/>
        </w:numPr>
        <w:rPr>
          <w:i/>
        </w:rPr>
      </w:pPr>
      <w:r w:rsidRPr="0007351C">
        <w:rPr>
          <w:i/>
        </w:rPr>
        <w:t>La superficie considerada como matorral arborescente en los mapas previos a 2015 utilizados en el NREF/NRF y en el Anexo, fue incluida dentro de la categoría de bosque nativo.</w:t>
      </w:r>
    </w:p>
    <w:p w14:paraId="6E2026B8" w14:textId="77777777" w:rsidR="001546AF" w:rsidRDefault="001546AF" w:rsidP="001546AF">
      <w:pPr>
        <w:pStyle w:val="Prrafodelista"/>
        <w:numPr>
          <w:ilvl w:val="0"/>
          <w:numId w:val="6"/>
        </w:numPr>
      </w:pPr>
      <w:r w:rsidRPr="0007351C">
        <w:rPr>
          <w:i/>
        </w:rPr>
        <w:t>Los cambios de uso desde matorral arborescente a otros usos de la tierra no son considerados como deforestación. Sin embargo, la conversión de bosque nativo a matorral arborescente, sí es considerada dentro de esta actividad</w:t>
      </w:r>
      <w:r w:rsidRPr="00A16D11">
        <w:t>.</w:t>
      </w:r>
    </w:p>
    <w:p w14:paraId="6E2026B9" w14:textId="77777777" w:rsidR="0032547A" w:rsidRDefault="0032547A" w:rsidP="0032547A">
      <w:pPr>
        <w:pStyle w:val="Prrafodelista"/>
        <w:ind w:left="1068"/>
      </w:pPr>
    </w:p>
    <w:p w14:paraId="6E2026BA" w14:textId="77777777" w:rsidR="00C6085B" w:rsidRPr="00A16D11" w:rsidRDefault="00C6085B" w:rsidP="00C6085B">
      <w:pPr>
        <w:pStyle w:val="Prrafodelista"/>
        <w:numPr>
          <w:ilvl w:val="0"/>
          <w:numId w:val="3"/>
        </w:numPr>
      </w:pPr>
      <w:r>
        <w:t>Página 38, párrafo 1, se elimina texto repetido que dice ”marzo de 2015”</w:t>
      </w:r>
    </w:p>
    <w:p w14:paraId="6E2026BB" w14:textId="77777777" w:rsidR="001546AF" w:rsidRPr="00A16D11" w:rsidRDefault="001546AF" w:rsidP="001546AF">
      <w:pPr>
        <w:pStyle w:val="Prrafodelista"/>
        <w:ind w:left="1068"/>
      </w:pPr>
    </w:p>
    <w:p w14:paraId="6E2026BC" w14:textId="42C8F438" w:rsidR="009F5882" w:rsidRDefault="008B1959" w:rsidP="001546AF">
      <w:pPr>
        <w:pStyle w:val="Prrafodelista"/>
        <w:numPr>
          <w:ilvl w:val="0"/>
          <w:numId w:val="3"/>
        </w:numPr>
      </w:pPr>
      <w:r>
        <w:t>P</w:t>
      </w:r>
      <w:r w:rsidRPr="00A16D11">
        <w:t>ágina 40</w:t>
      </w:r>
      <w:r>
        <w:t>,</w:t>
      </w:r>
      <w:r w:rsidR="00001A0E">
        <w:t xml:space="preserve"> </w:t>
      </w:r>
      <w:r w:rsidR="000B23C5" w:rsidRPr="00A16D11">
        <w:t xml:space="preserve">Tabla 8, </w:t>
      </w:r>
      <w:r w:rsidR="009F5882" w:rsidRPr="00A16D11">
        <w:t>columna Datos de Actividad CUT 2001/2013</w:t>
      </w:r>
    </w:p>
    <w:p w14:paraId="6E2026BD" w14:textId="77777777" w:rsidR="00B81AAA" w:rsidRDefault="00B81AAA" w:rsidP="00B81AAA">
      <w:pPr>
        <w:pStyle w:val="Prrafodelista"/>
      </w:pPr>
    </w:p>
    <w:p w14:paraId="6E2026BF" w14:textId="1B51771B" w:rsidR="009F5882" w:rsidRPr="0007351C" w:rsidRDefault="001546AF" w:rsidP="009F5882">
      <w:pPr>
        <w:pStyle w:val="Prrafodelista"/>
        <w:rPr>
          <w:i/>
        </w:rPr>
      </w:pPr>
      <w:r w:rsidRPr="00A16D11">
        <w:t xml:space="preserve">Donde dice: </w:t>
      </w:r>
      <w:r w:rsidR="009F5882" w:rsidRPr="0007351C">
        <w:rPr>
          <w:i/>
        </w:rPr>
        <w:t xml:space="preserve">Imágenes satelitales utilizadas: </w:t>
      </w:r>
      <w:r w:rsidR="009F5882" w:rsidRPr="0007351C">
        <w:rPr>
          <w:rFonts w:eastAsia="Times New Roman" w:cstheme="majorHAnsi"/>
          <w:i/>
        </w:rPr>
        <w:t>Alta resolución: Formosat, Spot, RapidEye</w:t>
      </w:r>
    </w:p>
    <w:p w14:paraId="6E2026C2" w14:textId="1806782D" w:rsidR="000B23C5" w:rsidRDefault="00CF6019" w:rsidP="009F5882">
      <w:pPr>
        <w:pStyle w:val="Prrafodelista"/>
        <w:rPr>
          <w:rFonts w:eastAsia="Times New Roman" w:cstheme="majorHAnsi"/>
          <w:i/>
        </w:rPr>
      </w:pPr>
      <w:r>
        <w:t>Se corrige por:</w:t>
      </w:r>
      <w:r w:rsidR="00B6175D">
        <w:t xml:space="preserve"> </w:t>
      </w:r>
      <w:r w:rsidR="009F5882" w:rsidRPr="0007351C">
        <w:rPr>
          <w:rFonts w:eastAsia="Times New Roman" w:cstheme="majorHAnsi"/>
          <w:i/>
        </w:rPr>
        <w:t xml:space="preserve">Alta resolución: Formosat, Spot, RapidEye / </w:t>
      </w:r>
      <w:r w:rsidR="000B23C5" w:rsidRPr="0007351C">
        <w:rPr>
          <w:rFonts w:eastAsia="Times New Roman" w:cstheme="majorHAnsi"/>
          <w:i/>
        </w:rPr>
        <w:t>Media resolución: Landsat 5 y Landsat 7</w:t>
      </w:r>
    </w:p>
    <w:p w14:paraId="6E2026C3" w14:textId="77777777" w:rsidR="006864FA" w:rsidRDefault="006864FA" w:rsidP="009F5882">
      <w:pPr>
        <w:pStyle w:val="Prrafodelista"/>
        <w:rPr>
          <w:rFonts w:eastAsia="Times New Roman" w:cstheme="majorHAnsi"/>
        </w:rPr>
      </w:pPr>
    </w:p>
    <w:p w14:paraId="6E2026C4" w14:textId="77777777" w:rsidR="006864FA" w:rsidRDefault="006864FA" w:rsidP="009F5882">
      <w:pPr>
        <w:pStyle w:val="Prrafodelista"/>
        <w:rPr>
          <w:rFonts w:eastAsia="Times New Roman" w:cstheme="majorHAnsi"/>
        </w:rPr>
      </w:pPr>
      <w:r>
        <w:rPr>
          <w:rFonts w:eastAsia="Times New Roman" w:cstheme="majorHAnsi"/>
        </w:rPr>
        <w:t>Columna Datos de Actividad CUT2013/2017</w:t>
      </w:r>
    </w:p>
    <w:p w14:paraId="6E2026C5" w14:textId="77777777" w:rsidR="006864FA" w:rsidRDefault="006864FA" w:rsidP="006864FA">
      <w:pPr>
        <w:pStyle w:val="Prrafodelista"/>
        <w:rPr>
          <w:rFonts w:eastAsia="Times New Roman" w:cstheme="majorHAnsi"/>
          <w:i/>
        </w:rPr>
      </w:pPr>
      <w:r>
        <w:rPr>
          <w:rFonts w:eastAsia="Times New Roman" w:cstheme="majorHAnsi"/>
        </w:rPr>
        <w:t>Donde dice:</w:t>
      </w:r>
      <w:r w:rsidR="008B1959">
        <w:rPr>
          <w:rFonts w:eastAsia="Times New Roman" w:cstheme="majorHAnsi"/>
        </w:rPr>
        <w:t xml:space="preserve"> </w:t>
      </w:r>
      <w:r w:rsidRPr="0007351C">
        <w:rPr>
          <w:rFonts w:eastAsia="Times New Roman" w:cstheme="majorHAnsi"/>
          <w:i/>
        </w:rPr>
        <w:t>Media resolución: Landsat 5 y Landsat 7</w:t>
      </w:r>
    </w:p>
    <w:p w14:paraId="6E2026C6" w14:textId="77777777" w:rsidR="006864FA" w:rsidRDefault="006864FA" w:rsidP="006864FA">
      <w:pPr>
        <w:pStyle w:val="Prrafodelista"/>
        <w:rPr>
          <w:rFonts w:eastAsia="Times New Roman" w:cstheme="majorHAnsi"/>
          <w:i/>
        </w:rPr>
      </w:pPr>
      <w:r>
        <w:rPr>
          <w:rFonts w:eastAsia="Times New Roman" w:cstheme="majorHAnsi"/>
        </w:rPr>
        <w:t>Se corrige por</w:t>
      </w:r>
      <w:r w:rsidR="008B1959">
        <w:rPr>
          <w:rFonts w:eastAsia="Times New Roman" w:cstheme="majorHAnsi"/>
        </w:rPr>
        <w:t xml:space="preserve">: </w:t>
      </w:r>
      <w:r w:rsidRPr="0007351C">
        <w:rPr>
          <w:rFonts w:eastAsia="Times New Roman" w:cstheme="majorHAnsi"/>
          <w:i/>
        </w:rPr>
        <w:t xml:space="preserve">Media </w:t>
      </w:r>
      <w:r>
        <w:rPr>
          <w:rFonts w:eastAsia="Times New Roman" w:cstheme="majorHAnsi"/>
          <w:i/>
        </w:rPr>
        <w:t>resolución: Landsat 8</w:t>
      </w:r>
    </w:p>
    <w:p w14:paraId="6E2026C7" w14:textId="77777777" w:rsidR="006864FA" w:rsidRDefault="006864FA" w:rsidP="009F5882">
      <w:pPr>
        <w:pStyle w:val="Prrafodelista"/>
        <w:rPr>
          <w:rFonts w:eastAsia="Times New Roman" w:cstheme="majorHAnsi"/>
        </w:rPr>
      </w:pPr>
    </w:p>
    <w:p w14:paraId="6E2026C8" w14:textId="77777777" w:rsidR="00B81AAA" w:rsidRDefault="00B81AAA" w:rsidP="00B81AAA">
      <w:pPr>
        <w:pStyle w:val="Prrafodelista"/>
        <w:numPr>
          <w:ilvl w:val="0"/>
          <w:numId w:val="3"/>
        </w:numPr>
      </w:pPr>
      <w:r>
        <w:t>Página 40, último párrafo</w:t>
      </w:r>
    </w:p>
    <w:p w14:paraId="6E2026CA" w14:textId="52F299C8" w:rsidR="00B81AAA" w:rsidRDefault="00B81AAA" w:rsidP="00B81AAA">
      <w:pPr>
        <w:pStyle w:val="Prrafodelista"/>
        <w:rPr>
          <w:rFonts w:ascii="Arial" w:hAnsi="Arial" w:cs="Arial"/>
          <w:color w:val="263238"/>
          <w:sz w:val="20"/>
          <w:szCs w:val="20"/>
        </w:rPr>
      </w:pPr>
      <w:r>
        <w:t>Donde dice:</w:t>
      </w:r>
      <w:r w:rsidR="002E190B">
        <w:t xml:space="preserve"> </w:t>
      </w:r>
      <w:r>
        <w:rPr>
          <w:rFonts w:ascii="Arial" w:hAnsi="Arial" w:cs="Arial"/>
          <w:color w:val="263238"/>
          <w:sz w:val="20"/>
          <w:szCs w:val="20"/>
        </w:rPr>
        <w:t>Para el año de inicio, la interpolación fue requerida en todas las regiones, ya que el mapa inicial de Catastro 1997</w:t>
      </w:r>
    </w:p>
    <w:p w14:paraId="6E2026CD" w14:textId="619A72D7" w:rsidR="00B81AAA" w:rsidRDefault="008B1959" w:rsidP="009F5882">
      <w:pPr>
        <w:pStyle w:val="Prrafodelista"/>
        <w:rPr>
          <w:rFonts w:ascii="Arial" w:hAnsi="Arial" w:cs="Arial"/>
          <w:color w:val="263238"/>
          <w:sz w:val="20"/>
          <w:szCs w:val="20"/>
        </w:rPr>
      </w:pPr>
      <w:r>
        <w:rPr>
          <w:rFonts w:eastAsia="Times New Roman" w:cstheme="majorHAnsi"/>
        </w:rPr>
        <w:t>Se corrige por:</w:t>
      </w:r>
      <w:r w:rsidR="00692EB0">
        <w:rPr>
          <w:rFonts w:eastAsia="Times New Roman" w:cstheme="majorHAnsi"/>
        </w:rPr>
        <w:t xml:space="preserve"> </w:t>
      </w:r>
      <w:r w:rsidR="00B81AAA">
        <w:rPr>
          <w:rFonts w:ascii="Arial" w:hAnsi="Arial" w:cs="Arial"/>
          <w:color w:val="263238"/>
          <w:sz w:val="20"/>
          <w:szCs w:val="20"/>
        </w:rPr>
        <w:t xml:space="preserve">Para el año de inicio, la interpolación fue requerida en todas las regiones, ya que el mapa inicial de Catastro </w:t>
      </w:r>
      <w:r w:rsidR="00B81AAA" w:rsidRPr="00B81AAA">
        <w:rPr>
          <w:rFonts w:ascii="Arial" w:hAnsi="Arial" w:cs="Arial"/>
          <w:b/>
          <w:color w:val="263238"/>
          <w:sz w:val="20"/>
          <w:szCs w:val="20"/>
        </w:rPr>
        <w:t>es</w:t>
      </w:r>
      <w:r w:rsidR="00B81AAA">
        <w:rPr>
          <w:rFonts w:ascii="Arial" w:hAnsi="Arial" w:cs="Arial"/>
          <w:color w:val="263238"/>
          <w:sz w:val="20"/>
          <w:szCs w:val="20"/>
        </w:rPr>
        <w:t xml:space="preserve"> de 1997</w:t>
      </w:r>
    </w:p>
    <w:p w14:paraId="6E2026CE" w14:textId="77777777" w:rsidR="00511CE1" w:rsidRDefault="00511CE1" w:rsidP="009F5882">
      <w:pPr>
        <w:pStyle w:val="Prrafodelista"/>
        <w:rPr>
          <w:rFonts w:ascii="Arial" w:hAnsi="Arial" w:cs="Arial"/>
          <w:color w:val="263238"/>
          <w:sz w:val="20"/>
          <w:szCs w:val="20"/>
        </w:rPr>
      </w:pPr>
    </w:p>
    <w:p w14:paraId="6E2026CF" w14:textId="77777777" w:rsidR="00511CE1" w:rsidRDefault="00511CE1" w:rsidP="00511CE1">
      <w:pPr>
        <w:pStyle w:val="Prrafodelista"/>
        <w:numPr>
          <w:ilvl w:val="0"/>
          <w:numId w:val="3"/>
        </w:numPr>
      </w:pPr>
      <w:r>
        <w:t>Página 41, último párrafo</w:t>
      </w:r>
    </w:p>
    <w:p w14:paraId="6E2026D0" w14:textId="77777777" w:rsidR="00511CE1" w:rsidRDefault="00511CE1" w:rsidP="00511CE1">
      <w:pPr>
        <w:pStyle w:val="Prrafodelista"/>
        <w:rPr>
          <w:rFonts w:eastAsia="Times New Roman" w:cstheme="majorHAnsi"/>
        </w:rPr>
      </w:pPr>
      <w:r>
        <w:rPr>
          <w:rFonts w:eastAsia="Times New Roman" w:cstheme="majorHAnsi"/>
        </w:rPr>
        <w:t>Para ser consistente con las respuestas entregadas y las modificaciones a la redacción anterior que mejorar</w:t>
      </w:r>
      <w:r w:rsidR="00536E6A">
        <w:rPr>
          <w:rFonts w:eastAsia="Times New Roman" w:cstheme="majorHAnsi"/>
        </w:rPr>
        <w:t>á</w:t>
      </w:r>
      <w:r>
        <w:rPr>
          <w:rFonts w:eastAsia="Times New Roman" w:cstheme="majorHAnsi"/>
        </w:rPr>
        <w:t xml:space="preserve"> entendimiento, Se elimina  el texto: “</w:t>
      </w:r>
      <w:r w:rsidRPr="00511CE1">
        <w:rPr>
          <w:rFonts w:eastAsia="Times New Roman" w:cstheme="majorHAnsi"/>
        </w:rPr>
        <w:t>Sin embargo, todas</w:t>
      </w:r>
      <w:r>
        <w:rPr>
          <w:rFonts w:eastAsia="Times New Roman" w:cstheme="majorHAnsi"/>
        </w:rPr>
        <w:t xml:space="preserve"> </w:t>
      </w:r>
      <w:r w:rsidRPr="00511CE1">
        <w:rPr>
          <w:rFonts w:eastAsia="Times New Roman" w:cstheme="majorHAnsi"/>
        </w:rPr>
        <w:t>las superficies categorizadas en los mapas utilizados en este Anexo de resultados REDD+ como matorral arborescente, no conforman bosque nativo en ningún caso.</w:t>
      </w:r>
      <w:r>
        <w:rPr>
          <w:rFonts w:eastAsia="Times New Roman" w:cstheme="majorHAnsi"/>
        </w:rPr>
        <w:t>”</w:t>
      </w:r>
    </w:p>
    <w:p w14:paraId="6E2026D2" w14:textId="77777777" w:rsidR="00A03D9E" w:rsidRDefault="00A03D9E" w:rsidP="00A03D9E">
      <w:pPr>
        <w:pStyle w:val="Prrafodelista"/>
        <w:numPr>
          <w:ilvl w:val="0"/>
          <w:numId w:val="3"/>
        </w:numPr>
      </w:pPr>
      <w:r>
        <w:lastRenderedPageBreak/>
        <w:t>Página 43, tercer punto:</w:t>
      </w:r>
    </w:p>
    <w:p w14:paraId="6E2026D3" w14:textId="77777777" w:rsidR="00A03D9E" w:rsidRPr="00511CE1" w:rsidRDefault="00A03D9E" w:rsidP="00A03D9E">
      <w:pPr>
        <w:pStyle w:val="Prrafodelista"/>
        <w:rPr>
          <w:rFonts w:eastAsia="Times New Roman" w:cstheme="majorHAnsi"/>
        </w:rPr>
      </w:pPr>
      <w:r>
        <w:rPr>
          <w:rFonts w:eastAsia="Times New Roman" w:cstheme="majorHAnsi"/>
        </w:rPr>
        <w:t>Se elimina  el texto: “</w:t>
      </w:r>
      <w:r w:rsidRPr="00A03D9E">
        <w:rPr>
          <w:rFonts w:eastAsia="Times New Roman" w:cstheme="majorHAnsi"/>
        </w:rPr>
        <w:t>Se excluyen de la categoría de bosque permanente aquella superficie categorizadas como matorral arborescente en los</w:t>
      </w:r>
      <w:r>
        <w:rPr>
          <w:rFonts w:eastAsia="Times New Roman" w:cstheme="majorHAnsi"/>
        </w:rPr>
        <w:t xml:space="preserve"> </w:t>
      </w:r>
      <w:r w:rsidRPr="00A03D9E">
        <w:rPr>
          <w:rFonts w:eastAsia="Times New Roman" w:cstheme="majorHAnsi"/>
        </w:rPr>
        <w:t>mapas utilizados en este Anexo de resultados REDD+.</w:t>
      </w:r>
      <w:r>
        <w:rPr>
          <w:rFonts w:eastAsia="Times New Roman" w:cstheme="majorHAnsi"/>
        </w:rPr>
        <w:t>” Pues corresponde a un error de redacción que puede confundir al lector.</w:t>
      </w:r>
    </w:p>
    <w:p w14:paraId="6E2026D5" w14:textId="77777777" w:rsidR="009F5882" w:rsidRPr="00A16D11" w:rsidRDefault="009F5882" w:rsidP="009F5882">
      <w:pPr>
        <w:pStyle w:val="Prrafodelista"/>
        <w:rPr>
          <w:rFonts w:eastAsia="Times New Roman" w:cstheme="majorHAnsi"/>
        </w:rPr>
      </w:pPr>
    </w:p>
    <w:p w14:paraId="6E2026D6" w14:textId="77777777" w:rsidR="000B23C5" w:rsidRPr="00A16D11" w:rsidRDefault="00C66E44" w:rsidP="009F5882">
      <w:pPr>
        <w:pStyle w:val="Prrafodelista"/>
        <w:numPr>
          <w:ilvl w:val="0"/>
          <w:numId w:val="3"/>
        </w:numPr>
        <w:rPr>
          <w:rFonts w:eastAsia="Times New Roman" w:cstheme="majorHAnsi"/>
        </w:rPr>
      </w:pPr>
      <w:r w:rsidRPr="00A16D11">
        <w:rPr>
          <w:rFonts w:eastAsia="Times New Roman" w:cstheme="majorHAnsi"/>
        </w:rPr>
        <w:t xml:space="preserve">Página 46, tabla 11, se </w:t>
      </w:r>
      <w:r w:rsidR="000C28A3" w:rsidRPr="00A16D11">
        <w:rPr>
          <w:rFonts w:eastAsia="Times New Roman" w:cstheme="majorHAnsi"/>
        </w:rPr>
        <w:t>corrigen</w:t>
      </w:r>
      <w:r w:rsidRPr="00A16D11">
        <w:rPr>
          <w:rFonts w:eastAsia="Times New Roman" w:cstheme="majorHAnsi"/>
        </w:rPr>
        <w:t xml:space="preserve"> columnas Biomasa Subterránea y Total Biomasa</w:t>
      </w:r>
      <w:r w:rsidR="00CF6019">
        <w:rPr>
          <w:rFonts w:eastAsia="Times New Roman" w:cstheme="majorHAnsi"/>
        </w:rPr>
        <w:t>, y encabezado de tabla inferior</w:t>
      </w:r>
      <w:r w:rsidRPr="00A16D11">
        <w:rPr>
          <w:rFonts w:eastAsia="Times New Roman" w:cstheme="majorHAnsi"/>
        </w:rPr>
        <w:t>:</w:t>
      </w:r>
    </w:p>
    <w:tbl>
      <w:tblPr>
        <w:tblW w:w="9600" w:type="dxa"/>
        <w:jc w:val="center"/>
        <w:tblCellMar>
          <w:left w:w="70" w:type="dxa"/>
          <w:right w:w="70" w:type="dxa"/>
        </w:tblCellMar>
        <w:tblLook w:val="04A0" w:firstRow="1" w:lastRow="0" w:firstColumn="1" w:lastColumn="0" w:noHBand="0" w:noVBand="1"/>
      </w:tblPr>
      <w:tblGrid>
        <w:gridCol w:w="1178"/>
        <w:gridCol w:w="1204"/>
        <w:gridCol w:w="1214"/>
        <w:gridCol w:w="1178"/>
        <w:gridCol w:w="1189"/>
        <w:gridCol w:w="1141"/>
        <w:gridCol w:w="1307"/>
        <w:gridCol w:w="1189"/>
      </w:tblGrid>
      <w:tr w:rsidR="00C66E44" w:rsidRPr="00C66E44" w14:paraId="6E2026D8" w14:textId="77777777" w:rsidTr="00F72BA3">
        <w:trPr>
          <w:trHeight w:val="20"/>
          <w:jc w:val="center"/>
        </w:trPr>
        <w:tc>
          <w:tcPr>
            <w:tcW w:w="9600" w:type="dxa"/>
            <w:gridSpan w:val="8"/>
            <w:tcBorders>
              <w:top w:val="single" w:sz="8" w:space="0" w:color="FFFFFF"/>
              <w:left w:val="single" w:sz="8" w:space="0" w:color="FFFFFF"/>
              <w:bottom w:val="single" w:sz="12" w:space="0" w:color="FFFFFF"/>
              <w:right w:val="single" w:sz="8" w:space="0" w:color="FFFFFF"/>
            </w:tcBorders>
            <w:shd w:val="clear" w:color="000000" w:fill="70AD47"/>
            <w:noWrap/>
            <w:vAlign w:val="center"/>
            <w:hideMark/>
          </w:tcPr>
          <w:p w14:paraId="6E2026D7" w14:textId="77777777" w:rsidR="00C66E44" w:rsidRPr="00C66E44" w:rsidRDefault="00C66E44" w:rsidP="00C66E44">
            <w:pPr>
              <w:spacing w:after="0" w:line="240" w:lineRule="auto"/>
              <w:jc w:val="both"/>
              <w:rPr>
                <w:rFonts w:eastAsia="Times New Roman" w:cs="Times New Roman"/>
                <w:b/>
                <w:bCs/>
                <w:color w:val="FFFFFF"/>
                <w:sz w:val="18"/>
                <w:lang w:eastAsia="es-CL"/>
              </w:rPr>
            </w:pPr>
            <w:r w:rsidRPr="00C66E44">
              <w:rPr>
                <w:rFonts w:eastAsia="Times New Roman" w:cs="Times New Roman"/>
                <w:b/>
                <w:bCs/>
                <w:color w:val="FFFFFF"/>
                <w:sz w:val="18"/>
                <w:lang w:eastAsia="es-CL"/>
              </w:rPr>
              <w:t>Parámetros aplicados para la estimación de biomasa disponible en la construcción del NREF/NRF</w:t>
            </w:r>
          </w:p>
        </w:tc>
      </w:tr>
      <w:tr w:rsidR="00C66E44" w:rsidRPr="00C66E44" w14:paraId="6E2026E1" w14:textId="77777777" w:rsidTr="00F72BA3">
        <w:trPr>
          <w:trHeight w:val="20"/>
          <w:jc w:val="center"/>
        </w:trPr>
        <w:tc>
          <w:tcPr>
            <w:tcW w:w="1178" w:type="dxa"/>
            <w:vMerge w:val="restart"/>
            <w:tcBorders>
              <w:top w:val="nil"/>
              <w:left w:val="single" w:sz="8" w:space="0" w:color="FFFFFF"/>
              <w:bottom w:val="single" w:sz="8" w:space="0" w:color="FFFFFF"/>
              <w:right w:val="single" w:sz="12" w:space="0" w:color="FFFFFF"/>
            </w:tcBorders>
            <w:shd w:val="clear" w:color="000000" w:fill="70AD47"/>
            <w:noWrap/>
            <w:vAlign w:val="center"/>
            <w:hideMark/>
          </w:tcPr>
          <w:p w14:paraId="6E2026D9"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Región</w:t>
            </w:r>
          </w:p>
        </w:tc>
        <w:tc>
          <w:tcPr>
            <w:tcW w:w="1204" w:type="dxa"/>
            <w:tcBorders>
              <w:top w:val="nil"/>
              <w:left w:val="nil"/>
              <w:bottom w:val="single" w:sz="8" w:space="0" w:color="FFFFFF"/>
              <w:right w:val="single" w:sz="8" w:space="0" w:color="FFFFFF"/>
            </w:tcBorders>
            <w:shd w:val="clear" w:color="000000" w:fill="B7D8A0"/>
            <w:vAlign w:val="center"/>
            <w:hideMark/>
          </w:tcPr>
          <w:p w14:paraId="6E2026DA"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 xml:space="preserve">Existencia </w:t>
            </w:r>
          </w:p>
        </w:tc>
        <w:tc>
          <w:tcPr>
            <w:tcW w:w="1214" w:type="dxa"/>
            <w:tcBorders>
              <w:top w:val="nil"/>
              <w:left w:val="nil"/>
              <w:bottom w:val="single" w:sz="8" w:space="0" w:color="FFFFFF"/>
              <w:right w:val="single" w:sz="8" w:space="0" w:color="FFFFFF"/>
            </w:tcBorders>
            <w:shd w:val="clear" w:color="000000" w:fill="B7D8A0"/>
            <w:vAlign w:val="center"/>
            <w:hideMark/>
          </w:tcPr>
          <w:p w14:paraId="6E2026DB"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Factor Expansión Bosque Nativo</w:t>
            </w:r>
          </w:p>
        </w:tc>
        <w:tc>
          <w:tcPr>
            <w:tcW w:w="1178" w:type="dxa"/>
            <w:tcBorders>
              <w:top w:val="nil"/>
              <w:left w:val="nil"/>
              <w:bottom w:val="single" w:sz="8" w:space="0" w:color="FFFFFF"/>
              <w:right w:val="single" w:sz="8" w:space="0" w:color="FFFFFF"/>
            </w:tcBorders>
            <w:shd w:val="clear" w:color="000000" w:fill="B7D8A0"/>
            <w:vAlign w:val="center"/>
            <w:hideMark/>
          </w:tcPr>
          <w:p w14:paraId="6E2026DC"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Densidad básica</w:t>
            </w:r>
          </w:p>
        </w:tc>
        <w:tc>
          <w:tcPr>
            <w:tcW w:w="1189" w:type="dxa"/>
            <w:tcBorders>
              <w:top w:val="nil"/>
              <w:left w:val="nil"/>
              <w:bottom w:val="single" w:sz="8" w:space="0" w:color="FFFFFF"/>
              <w:right w:val="single" w:sz="8" w:space="0" w:color="FFFFFF"/>
            </w:tcBorders>
            <w:shd w:val="clear" w:color="000000" w:fill="B7D8A0"/>
            <w:vAlign w:val="center"/>
            <w:hideMark/>
          </w:tcPr>
          <w:p w14:paraId="6E2026DD"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Biomasa aérea</w:t>
            </w:r>
          </w:p>
        </w:tc>
        <w:tc>
          <w:tcPr>
            <w:tcW w:w="1141" w:type="dxa"/>
            <w:tcBorders>
              <w:top w:val="nil"/>
              <w:left w:val="nil"/>
              <w:bottom w:val="single" w:sz="8" w:space="0" w:color="FFFFFF"/>
              <w:right w:val="single" w:sz="8" w:space="0" w:color="FFFFFF"/>
            </w:tcBorders>
            <w:shd w:val="clear" w:color="000000" w:fill="B7D8A0"/>
            <w:vAlign w:val="center"/>
            <w:hideMark/>
          </w:tcPr>
          <w:p w14:paraId="6E2026DE"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Relación Raíz-Tallo</w:t>
            </w:r>
          </w:p>
        </w:tc>
        <w:tc>
          <w:tcPr>
            <w:tcW w:w="1307" w:type="dxa"/>
            <w:tcBorders>
              <w:top w:val="nil"/>
              <w:left w:val="nil"/>
              <w:bottom w:val="single" w:sz="8" w:space="0" w:color="FFFFFF"/>
              <w:right w:val="single" w:sz="8" w:space="0" w:color="FFFFFF"/>
            </w:tcBorders>
            <w:shd w:val="clear" w:color="000000" w:fill="B7D8A0"/>
            <w:vAlign w:val="center"/>
            <w:hideMark/>
          </w:tcPr>
          <w:p w14:paraId="6E2026DF"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Biomasa subterránea</w:t>
            </w:r>
          </w:p>
        </w:tc>
        <w:tc>
          <w:tcPr>
            <w:tcW w:w="1189" w:type="dxa"/>
            <w:tcBorders>
              <w:top w:val="nil"/>
              <w:left w:val="nil"/>
              <w:bottom w:val="single" w:sz="8" w:space="0" w:color="FFFFFF"/>
              <w:right w:val="single" w:sz="8" w:space="0" w:color="FFFFFF"/>
            </w:tcBorders>
            <w:shd w:val="clear" w:color="000000" w:fill="B7D8A0"/>
            <w:vAlign w:val="center"/>
            <w:hideMark/>
          </w:tcPr>
          <w:p w14:paraId="6E2026E0"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 xml:space="preserve">Biomasa total </w:t>
            </w:r>
          </w:p>
        </w:tc>
      </w:tr>
      <w:tr w:rsidR="00C66E44" w:rsidRPr="00C66E44" w14:paraId="6E2026EA" w14:textId="77777777" w:rsidTr="00F72BA3">
        <w:trPr>
          <w:trHeight w:val="20"/>
          <w:jc w:val="center"/>
        </w:trPr>
        <w:tc>
          <w:tcPr>
            <w:tcW w:w="1178" w:type="dxa"/>
            <w:vMerge/>
            <w:tcBorders>
              <w:top w:val="nil"/>
              <w:left w:val="single" w:sz="8" w:space="0" w:color="FFFFFF"/>
              <w:bottom w:val="single" w:sz="8" w:space="0" w:color="FFFFFF"/>
              <w:right w:val="single" w:sz="12" w:space="0" w:color="FFFFFF"/>
            </w:tcBorders>
            <w:vAlign w:val="center"/>
            <w:hideMark/>
          </w:tcPr>
          <w:p w14:paraId="6E2026E2" w14:textId="77777777" w:rsidR="00C66E44" w:rsidRPr="00C66E44" w:rsidRDefault="00C66E44" w:rsidP="00C66E44">
            <w:pPr>
              <w:spacing w:after="0" w:line="240" w:lineRule="auto"/>
              <w:rPr>
                <w:rFonts w:eastAsia="Times New Roman" w:cs="Times New Roman"/>
                <w:color w:val="FFFFFF"/>
                <w:sz w:val="18"/>
                <w:lang w:eastAsia="es-CL"/>
              </w:rPr>
            </w:pPr>
          </w:p>
        </w:tc>
        <w:tc>
          <w:tcPr>
            <w:tcW w:w="1204" w:type="dxa"/>
            <w:vMerge w:val="restart"/>
            <w:tcBorders>
              <w:top w:val="nil"/>
              <w:left w:val="single" w:sz="12" w:space="0" w:color="FFFFFF"/>
              <w:bottom w:val="single" w:sz="8" w:space="0" w:color="FFFFFF"/>
              <w:right w:val="single" w:sz="8" w:space="0" w:color="FFFFFF"/>
            </w:tcBorders>
            <w:shd w:val="clear" w:color="000000" w:fill="DBEBD0"/>
            <w:noWrap/>
            <w:vAlign w:val="center"/>
            <w:hideMark/>
          </w:tcPr>
          <w:p w14:paraId="6E2026E3"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 xml:space="preserve"> (m</w:t>
            </w:r>
            <w:r w:rsidRPr="00C66E44">
              <w:rPr>
                <w:rFonts w:eastAsia="Times New Roman" w:cs="Times New Roman"/>
                <w:color w:val="000000"/>
                <w:sz w:val="18"/>
                <w:vertAlign w:val="superscript"/>
                <w:lang w:eastAsia="es-CL"/>
              </w:rPr>
              <w:t>3</w:t>
            </w:r>
            <w:r w:rsidRPr="00C66E44">
              <w:rPr>
                <w:rFonts w:eastAsia="Times New Roman" w:cs="Times New Roman"/>
                <w:color w:val="000000"/>
                <w:sz w:val="18"/>
                <w:lang w:eastAsia="es-CL"/>
              </w:rPr>
              <w:t>/ha)</w:t>
            </w:r>
          </w:p>
        </w:tc>
        <w:tc>
          <w:tcPr>
            <w:tcW w:w="1214" w:type="dxa"/>
            <w:vMerge w:val="restart"/>
            <w:tcBorders>
              <w:top w:val="nil"/>
              <w:left w:val="single" w:sz="8" w:space="0" w:color="FFFFFF"/>
              <w:bottom w:val="single" w:sz="8" w:space="0" w:color="FFFFFF"/>
              <w:right w:val="single" w:sz="8" w:space="0" w:color="FFFFFF"/>
            </w:tcBorders>
            <w:shd w:val="clear" w:color="000000" w:fill="DBEBD0"/>
            <w:noWrap/>
            <w:vAlign w:val="center"/>
            <w:hideMark/>
          </w:tcPr>
          <w:p w14:paraId="6E2026E4"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BEF</w:t>
            </w:r>
          </w:p>
        </w:tc>
        <w:tc>
          <w:tcPr>
            <w:tcW w:w="1178" w:type="dxa"/>
            <w:vMerge w:val="restart"/>
            <w:tcBorders>
              <w:top w:val="nil"/>
              <w:left w:val="single" w:sz="8" w:space="0" w:color="FFFFFF"/>
              <w:bottom w:val="single" w:sz="8" w:space="0" w:color="FFFFFF"/>
              <w:right w:val="single" w:sz="8" w:space="0" w:color="FFFFFF"/>
            </w:tcBorders>
            <w:shd w:val="clear" w:color="000000" w:fill="DBEBD0"/>
            <w:noWrap/>
            <w:vAlign w:val="center"/>
            <w:hideMark/>
          </w:tcPr>
          <w:p w14:paraId="6E2026E5"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DB</w:t>
            </w:r>
          </w:p>
        </w:tc>
        <w:tc>
          <w:tcPr>
            <w:tcW w:w="1189" w:type="dxa"/>
            <w:tcBorders>
              <w:top w:val="nil"/>
              <w:left w:val="nil"/>
              <w:bottom w:val="nil"/>
              <w:right w:val="single" w:sz="8" w:space="0" w:color="FFFFFF"/>
            </w:tcBorders>
            <w:shd w:val="clear" w:color="000000" w:fill="DBEBD0"/>
            <w:noWrap/>
            <w:vAlign w:val="center"/>
            <w:hideMark/>
          </w:tcPr>
          <w:p w14:paraId="6E2026E6"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t Biomasa/</w:t>
            </w:r>
          </w:p>
        </w:tc>
        <w:tc>
          <w:tcPr>
            <w:tcW w:w="1141" w:type="dxa"/>
            <w:vMerge w:val="restart"/>
            <w:tcBorders>
              <w:top w:val="nil"/>
              <w:left w:val="single" w:sz="8" w:space="0" w:color="FFFFFF"/>
              <w:bottom w:val="single" w:sz="8" w:space="0" w:color="FFFFFF"/>
              <w:right w:val="single" w:sz="8" w:space="0" w:color="FFFFFF"/>
            </w:tcBorders>
            <w:shd w:val="clear" w:color="000000" w:fill="DBEBD0"/>
            <w:noWrap/>
            <w:vAlign w:val="center"/>
            <w:hideMark/>
          </w:tcPr>
          <w:p w14:paraId="6E2026E7"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w:t>
            </w:r>
          </w:p>
        </w:tc>
        <w:tc>
          <w:tcPr>
            <w:tcW w:w="1307" w:type="dxa"/>
            <w:vMerge w:val="restart"/>
            <w:tcBorders>
              <w:top w:val="nil"/>
              <w:left w:val="single" w:sz="8" w:space="0" w:color="FFFFFF"/>
              <w:bottom w:val="single" w:sz="8" w:space="0" w:color="FFFFFF"/>
              <w:right w:val="single" w:sz="8" w:space="0" w:color="FFFFFF"/>
            </w:tcBorders>
            <w:shd w:val="clear" w:color="000000" w:fill="DBEBD0"/>
            <w:noWrap/>
            <w:vAlign w:val="center"/>
            <w:hideMark/>
          </w:tcPr>
          <w:p w14:paraId="6E2026E8"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t Biomasa/ha</w:t>
            </w:r>
          </w:p>
        </w:tc>
        <w:tc>
          <w:tcPr>
            <w:tcW w:w="1189" w:type="dxa"/>
            <w:tcBorders>
              <w:top w:val="nil"/>
              <w:left w:val="nil"/>
              <w:bottom w:val="nil"/>
              <w:right w:val="single" w:sz="8" w:space="0" w:color="FFFFFF"/>
            </w:tcBorders>
            <w:shd w:val="clear" w:color="000000" w:fill="DBEBD0"/>
            <w:noWrap/>
            <w:vAlign w:val="center"/>
            <w:hideMark/>
          </w:tcPr>
          <w:p w14:paraId="6E2026E9"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t Biomasa/</w:t>
            </w:r>
          </w:p>
        </w:tc>
      </w:tr>
      <w:tr w:rsidR="00C66E44" w:rsidRPr="00C66E44" w14:paraId="6E2026F3" w14:textId="77777777" w:rsidTr="00F72BA3">
        <w:trPr>
          <w:trHeight w:val="20"/>
          <w:jc w:val="center"/>
        </w:trPr>
        <w:tc>
          <w:tcPr>
            <w:tcW w:w="1178" w:type="dxa"/>
            <w:vMerge/>
            <w:tcBorders>
              <w:top w:val="nil"/>
              <w:left w:val="single" w:sz="8" w:space="0" w:color="FFFFFF"/>
              <w:bottom w:val="single" w:sz="8" w:space="0" w:color="FFFFFF"/>
              <w:right w:val="single" w:sz="12" w:space="0" w:color="FFFFFF"/>
            </w:tcBorders>
            <w:vAlign w:val="center"/>
            <w:hideMark/>
          </w:tcPr>
          <w:p w14:paraId="6E2026EB" w14:textId="77777777" w:rsidR="00C66E44" w:rsidRPr="00C66E44" w:rsidRDefault="00C66E44" w:rsidP="00C66E44">
            <w:pPr>
              <w:spacing w:after="0" w:line="240" w:lineRule="auto"/>
              <w:rPr>
                <w:rFonts w:eastAsia="Times New Roman" w:cs="Times New Roman"/>
                <w:color w:val="FFFFFF"/>
                <w:sz w:val="18"/>
                <w:lang w:eastAsia="es-CL"/>
              </w:rPr>
            </w:pPr>
          </w:p>
        </w:tc>
        <w:tc>
          <w:tcPr>
            <w:tcW w:w="1204" w:type="dxa"/>
            <w:vMerge/>
            <w:tcBorders>
              <w:top w:val="nil"/>
              <w:left w:val="single" w:sz="12" w:space="0" w:color="FFFFFF"/>
              <w:bottom w:val="single" w:sz="8" w:space="0" w:color="FFFFFF"/>
              <w:right w:val="single" w:sz="8" w:space="0" w:color="FFFFFF"/>
            </w:tcBorders>
            <w:vAlign w:val="center"/>
            <w:hideMark/>
          </w:tcPr>
          <w:p w14:paraId="6E2026EC" w14:textId="77777777" w:rsidR="00C66E44" w:rsidRPr="00C66E44" w:rsidRDefault="00C66E44" w:rsidP="00C66E44">
            <w:pPr>
              <w:spacing w:after="0" w:line="240" w:lineRule="auto"/>
              <w:rPr>
                <w:rFonts w:eastAsia="Times New Roman" w:cs="Times New Roman"/>
                <w:color w:val="000000"/>
                <w:sz w:val="18"/>
                <w:lang w:eastAsia="es-CL"/>
              </w:rPr>
            </w:pPr>
          </w:p>
        </w:tc>
        <w:tc>
          <w:tcPr>
            <w:tcW w:w="1214" w:type="dxa"/>
            <w:vMerge/>
            <w:tcBorders>
              <w:top w:val="nil"/>
              <w:left w:val="single" w:sz="8" w:space="0" w:color="FFFFFF"/>
              <w:bottom w:val="single" w:sz="8" w:space="0" w:color="FFFFFF"/>
              <w:right w:val="single" w:sz="8" w:space="0" w:color="FFFFFF"/>
            </w:tcBorders>
            <w:vAlign w:val="center"/>
            <w:hideMark/>
          </w:tcPr>
          <w:p w14:paraId="6E2026ED"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6EE"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DBEBD0"/>
            <w:noWrap/>
            <w:vAlign w:val="center"/>
            <w:hideMark/>
          </w:tcPr>
          <w:p w14:paraId="6E2026EF"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ha</w:t>
            </w:r>
          </w:p>
        </w:tc>
        <w:tc>
          <w:tcPr>
            <w:tcW w:w="1141" w:type="dxa"/>
            <w:vMerge/>
            <w:tcBorders>
              <w:top w:val="nil"/>
              <w:left w:val="single" w:sz="8" w:space="0" w:color="FFFFFF"/>
              <w:bottom w:val="single" w:sz="8" w:space="0" w:color="FFFFFF"/>
              <w:right w:val="single" w:sz="8" w:space="0" w:color="FFFFFF"/>
            </w:tcBorders>
            <w:vAlign w:val="center"/>
            <w:hideMark/>
          </w:tcPr>
          <w:p w14:paraId="6E2026F0"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vMerge/>
            <w:tcBorders>
              <w:top w:val="nil"/>
              <w:left w:val="single" w:sz="8" w:space="0" w:color="FFFFFF"/>
              <w:bottom w:val="single" w:sz="8" w:space="0" w:color="FFFFFF"/>
              <w:right w:val="single" w:sz="8" w:space="0" w:color="FFFFFF"/>
            </w:tcBorders>
            <w:vAlign w:val="center"/>
            <w:hideMark/>
          </w:tcPr>
          <w:p w14:paraId="6E2026F1"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DBEBD0"/>
            <w:noWrap/>
            <w:vAlign w:val="center"/>
            <w:hideMark/>
          </w:tcPr>
          <w:p w14:paraId="6E2026F2"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ha</w:t>
            </w:r>
          </w:p>
        </w:tc>
      </w:tr>
      <w:tr w:rsidR="00C66E44" w:rsidRPr="00C66E44" w14:paraId="6E2026FC" w14:textId="77777777" w:rsidTr="00F72BA3">
        <w:trPr>
          <w:trHeight w:val="20"/>
          <w:jc w:val="center"/>
        </w:trPr>
        <w:tc>
          <w:tcPr>
            <w:tcW w:w="1178" w:type="dxa"/>
            <w:tcBorders>
              <w:top w:val="nil"/>
              <w:left w:val="single" w:sz="8" w:space="0" w:color="FFFFFF"/>
              <w:bottom w:val="nil"/>
              <w:right w:val="single" w:sz="12" w:space="0" w:color="FFFFFF"/>
            </w:tcBorders>
            <w:shd w:val="clear" w:color="000000" w:fill="70AD47"/>
            <w:noWrap/>
            <w:vAlign w:val="center"/>
            <w:hideMark/>
          </w:tcPr>
          <w:p w14:paraId="6E2026F4"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Maule</w:t>
            </w:r>
          </w:p>
        </w:tc>
        <w:tc>
          <w:tcPr>
            <w:tcW w:w="1204" w:type="dxa"/>
            <w:tcBorders>
              <w:top w:val="nil"/>
              <w:left w:val="nil"/>
              <w:bottom w:val="single" w:sz="8" w:space="0" w:color="FFFFFF"/>
              <w:right w:val="single" w:sz="8" w:space="0" w:color="FFFFFF"/>
            </w:tcBorders>
            <w:shd w:val="clear" w:color="000000" w:fill="B7D8A0"/>
            <w:noWrap/>
            <w:vAlign w:val="center"/>
            <w:hideMark/>
          </w:tcPr>
          <w:p w14:paraId="6E2026F5"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92,54</w:t>
            </w:r>
          </w:p>
        </w:tc>
        <w:tc>
          <w:tcPr>
            <w:tcW w:w="1214" w:type="dxa"/>
            <w:vMerge w:val="restart"/>
            <w:tcBorders>
              <w:top w:val="nil"/>
              <w:left w:val="single" w:sz="8" w:space="0" w:color="FFFFFF"/>
              <w:bottom w:val="single" w:sz="8" w:space="0" w:color="FFFFFF"/>
              <w:right w:val="single" w:sz="8" w:space="0" w:color="FFFFFF"/>
            </w:tcBorders>
            <w:shd w:val="clear" w:color="000000" w:fill="B7D8A0"/>
            <w:noWrap/>
            <w:vAlign w:val="center"/>
            <w:hideMark/>
          </w:tcPr>
          <w:p w14:paraId="6E2026F6"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1,75</w:t>
            </w:r>
          </w:p>
        </w:tc>
        <w:tc>
          <w:tcPr>
            <w:tcW w:w="1178" w:type="dxa"/>
            <w:vMerge w:val="restart"/>
            <w:tcBorders>
              <w:top w:val="nil"/>
              <w:left w:val="single" w:sz="8" w:space="0" w:color="FFFFFF"/>
              <w:bottom w:val="single" w:sz="8" w:space="0" w:color="FFFFFF"/>
              <w:right w:val="single" w:sz="8" w:space="0" w:color="FFFFFF"/>
            </w:tcBorders>
            <w:shd w:val="clear" w:color="000000" w:fill="B7D8A0"/>
            <w:noWrap/>
            <w:vAlign w:val="center"/>
            <w:hideMark/>
          </w:tcPr>
          <w:p w14:paraId="6E2026F7"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0,50</w:t>
            </w:r>
          </w:p>
        </w:tc>
        <w:tc>
          <w:tcPr>
            <w:tcW w:w="1189" w:type="dxa"/>
            <w:tcBorders>
              <w:top w:val="nil"/>
              <w:left w:val="nil"/>
              <w:bottom w:val="single" w:sz="8" w:space="0" w:color="FFFFFF"/>
              <w:right w:val="single" w:sz="8" w:space="0" w:color="FFFFFF"/>
            </w:tcBorders>
            <w:shd w:val="clear" w:color="000000" w:fill="B7D8A0"/>
            <w:noWrap/>
            <w:vAlign w:val="center"/>
            <w:hideMark/>
          </w:tcPr>
          <w:p w14:paraId="6E2026F8"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80,35</w:t>
            </w:r>
          </w:p>
        </w:tc>
        <w:tc>
          <w:tcPr>
            <w:tcW w:w="1141" w:type="dxa"/>
            <w:vMerge w:val="restart"/>
            <w:tcBorders>
              <w:top w:val="nil"/>
              <w:left w:val="single" w:sz="8" w:space="0" w:color="FFFFFF"/>
              <w:bottom w:val="single" w:sz="8" w:space="0" w:color="FFFFFF"/>
              <w:right w:val="single" w:sz="8" w:space="0" w:color="FFFFFF"/>
            </w:tcBorders>
            <w:shd w:val="clear" w:color="000000" w:fill="B7D8A0"/>
            <w:noWrap/>
            <w:vAlign w:val="center"/>
            <w:hideMark/>
          </w:tcPr>
          <w:p w14:paraId="6E2026F9"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28,69%</w:t>
            </w:r>
          </w:p>
        </w:tc>
        <w:tc>
          <w:tcPr>
            <w:tcW w:w="1307" w:type="dxa"/>
            <w:tcBorders>
              <w:top w:val="nil"/>
              <w:left w:val="nil"/>
              <w:bottom w:val="single" w:sz="8" w:space="0" w:color="FFFFFF"/>
              <w:right w:val="single" w:sz="8" w:space="0" w:color="FFFFFF"/>
            </w:tcBorders>
            <w:shd w:val="clear" w:color="000000" w:fill="B7D8A0"/>
            <w:noWrap/>
            <w:vAlign w:val="center"/>
            <w:hideMark/>
          </w:tcPr>
          <w:p w14:paraId="6E2026FA"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23,05</w:t>
            </w:r>
          </w:p>
        </w:tc>
        <w:tc>
          <w:tcPr>
            <w:tcW w:w="1189" w:type="dxa"/>
            <w:tcBorders>
              <w:top w:val="nil"/>
              <w:left w:val="nil"/>
              <w:bottom w:val="single" w:sz="8" w:space="0" w:color="FFFFFF"/>
              <w:right w:val="single" w:sz="8" w:space="0" w:color="FFFFFF"/>
            </w:tcBorders>
            <w:shd w:val="clear" w:color="000000" w:fill="B7D8A0"/>
            <w:noWrap/>
            <w:vAlign w:val="center"/>
            <w:hideMark/>
          </w:tcPr>
          <w:p w14:paraId="6E2026FB"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103,40</w:t>
            </w:r>
          </w:p>
        </w:tc>
      </w:tr>
      <w:tr w:rsidR="00C66E44" w:rsidRPr="00C66E44" w14:paraId="6E202705" w14:textId="77777777" w:rsidTr="00F72BA3">
        <w:trPr>
          <w:trHeight w:val="20"/>
          <w:jc w:val="center"/>
        </w:trPr>
        <w:tc>
          <w:tcPr>
            <w:tcW w:w="1178" w:type="dxa"/>
            <w:tcBorders>
              <w:top w:val="single" w:sz="8" w:space="0" w:color="FFFFFF"/>
              <w:left w:val="single" w:sz="8" w:space="0" w:color="FFFFFF"/>
              <w:bottom w:val="nil"/>
              <w:right w:val="single" w:sz="12" w:space="0" w:color="FFFFFF"/>
            </w:tcBorders>
            <w:shd w:val="clear" w:color="000000" w:fill="70AD47"/>
            <w:noWrap/>
            <w:vAlign w:val="center"/>
            <w:hideMark/>
          </w:tcPr>
          <w:p w14:paraId="6E2026FD"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Biobío</w:t>
            </w:r>
          </w:p>
        </w:tc>
        <w:tc>
          <w:tcPr>
            <w:tcW w:w="1204" w:type="dxa"/>
            <w:tcBorders>
              <w:top w:val="nil"/>
              <w:left w:val="nil"/>
              <w:bottom w:val="single" w:sz="8" w:space="0" w:color="FFFFFF"/>
              <w:right w:val="single" w:sz="8" w:space="0" w:color="FFFFFF"/>
            </w:tcBorders>
            <w:shd w:val="clear" w:color="000000" w:fill="DBEBD0"/>
            <w:noWrap/>
            <w:vAlign w:val="center"/>
            <w:hideMark/>
          </w:tcPr>
          <w:p w14:paraId="6E2026FE"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172,62</w:t>
            </w:r>
          </w:p>
        </w:tc>
        <w:tc>
          <w:tcPr>
            <w:tcW w:w="1214" w:type="dxa"/>
            <w:vMerge/>
            <w:tcBorders>
              <w:top w:val="nil"/>
              <w:left w:val="single" w:sz="8" w:space="0" w:color="FFFFFF"/>
              <w:bottom w:val="single" w:sz="8" w:space="0" w:color="FFFFFF"/>
              <w:right w:val="single" w:sz="8" w:space="0" w:color="FFFFFF"/>
            </w:tcBorders>
            <w:vAlign w:val="center"/>
            <w:hideMark/>
          </w:tcPr>
          <w:p w14:paraId="6E2026FF"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700"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DBEBD0"/>
            <w:noWrap/>
            <w:vAlign w:val="center"/>
            <w:hideMark/>
          </w:tcPr>
          <w:p w14:paraId="6E202701"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149,88</w:t>
            </w:r>
          </w:p>
        </w:tc>
        <w:tc>
          <w:tcPr>
            <w:tcW w:w="1141" w:type="dxa"/>
            <w:vMerge/>
            <w:tcBorders>
              <w:top w:val="nil"/>
              <w:left w:val="single" w:sz="8" w:space="0" w:color="FFFFFF"/>
              <w:bottom w:val="single" w:sz="8" w:space="0" w:color="FFFFFF"/>
              <w:right w:val="single" w:sz="8" w:space="0" w:color="FFFFFF"/>
            </w:tcBorders>
            <w:vAlign w:val="center"/>
            <w:hideMark/>
          </w:tcPr>
          <w:p w14:paraId="6E202702"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tcBorders>
              <w:top w:val="nil"/>
              <w:left w:val="nil"/>
              <w:bottom w:val="single" w:sz="8" w:space="0" w:color="FFFFFF"/>
              <w:right w:val="single" w:sz="8" w:space="0" w:color="FFFFFF"/>
            </w:tcBorders>
            <w:shd w:val="clear" w:color="000000" w:fill="B7D8A0"/>
            <w:noWrap/>
            <w:vAlign w:val="center"/>
            <w:hideMark/>
          </w:tcPr>
          <w:p w14:paraId="6E202703"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43,00</w:t>
            </w:r>
          </w:p>
        </w:tc>
        <w:tc>
          <w:tcPr>
            <w:tcW w:w="1189" w:type="dxa"/>
            <w:tcBorders>
              <w:top w:val="nil"/>
              <w:left w:val="nil"/>
              <w:bottom w:val="single" w:sz="8" w:space="0" w:color="FFFFFF"/>
              <w:right w:val="single" w:sz="8" w:space="0" w:color="FFFFFF"/>
            </w:tcBorders>
            <w:shd w:val="clear" w:color="000000" w:fill="B7D8A0"/>
            <w:noWrap/>
            <w:vAlign w:val="center"/>
            <w:hideMark/>
          </w:tcPr>
          <w:p w14:paraId="6E202704"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192,88</w:t>
            </w:r>
          </w:p>
        </w:tc>
      </w:tr>
      <w:tr w:rsidR="00C66E44" w:rsidRPr="00C66E44" w14:paraId="6E20270E" w14:textId="77777777" w:rsidTr="00F72BA3">
        <w:trPr>
          <w:trHeight w:val="20"/>
          <w:jc w:val="center"/>
        </w:trPr>
        <w:tc>
          <w:tcPr>
            <w:tcW w:w="1178" w:type="dxa"/>
            <w:tcBorders>
              <w:top w:val="single" w:sz="8" w:space="0" w:color="FFFFFF"/>
              <w:left w:val="single" w:sz="8" w:space="0" w:color="FFFFFF"/>
              <w:bottom w:val="nil"/>
              <w:right w:val="single" w:sz="12" w:space="0" w:color="FFFFFF"/>
            </w:tcBorders>
            <w:shd w:val="clear" w:color="000000" w:fill="70AD47"/>
            <w:noWrap/>
            <w:vAlign w:val="center"/>
            <w:hideMark/>
          </w:tcPr>
          <w:p w14:paraId="6E202706"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La Araucanía</w:t>
            </w:r>
          </w:p>
        </w:tc>
        <w:tc>
          <w:tcPr>
            <w:tcW w:w="1204" w:type="dxa"/>
            <w:tcBorders>
              <w:top w:val="nil"/>
              <w:left w:val="nil"/>
              <w:bottom w:val="single" w:sz="8" w:space="0" w:color="FFFFFF"/>
              <w:right w:val="single" w:sz="8" w:space="0" w:color="FFFFFF"/>
            </w:tcBorders>
            <w:shd w:val="clear" w:color="000000" w:fill="B7D8A0"/>
            <w:noWrap/>
            <w:vAlign w:val="center"/>
            <w:hideMark/>
          </w:tcPr>
          <w:p w14:paraId="6E202707"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299,65</w:t>
            </w:r>
          </w:p>
        </w:tc>
        <w:tc>
          <w:tcPr>
            <w:tcW w:w="1214" w:type="dxa"/>
            <w:vMerge/>
            <w:tcBorders>
              <w:top w:val="nil"/>
              <w:left w:val="single" w:sz="8" w:space="0" w:color="FFFFFF"/>
              <w:bottom w:val="single" w:sz="8" w:space="0" w:color="FFFFFF"/>
              <w:right w:val="single" w:sz="8" w:space="0" w:color="FFFFFF"/>
            </w:tcBorders>
            <w:vAlign w:val="center"/>
            <w:hideMark/>
          </w:tcPr>
          <w:p w14:paraId="6E202708"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709"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B7D8A0"/>
            <w:noWrap/>
            <w:vAlign w:val="center"/>
            <w:hideMark/>
          </w:tcPr>
          <w:p w14:paraId="6E20270A"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260,18</w:t>
            </w:r>
          </w:p>
        </w:tc>
        <w:tc>
          <w:tcPr>
            <w:tcW w:w="1141" w:type="dxa"/>
            <w:vMerge/>
            <w:tcBorders>
              <w:top w:val="nil"/>
              <w:left w:val="single" w:sz="8" w:space="0" w:color="FFFFFF"/>
              <w:bottom w:val="single" w:sz="8" w:space="0" w:color="FFFFFF"/>
              <w:right w:val="single" w:sz="8" w:space="0" w:color="FFFFFF"/>
            </w:tcBorders>
            <w:vAlign w:val="center"/>
            <w:hideMark/>
          </w:tcPr>
          <w:p w14:paraId="6E20270B"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tcBorders>
              <w:top w:val="nil"/>
              <w:left w:val="nil"/>
              <w:bottom w:val="single" w:sz="8" w:space="0" w:color="FFFFFF"/>
              <w:right w:val="single" w:sz="8" w:space="0" w:color="FFFFFF"/>
            </w:tcBorders>
            <w:shd w:val="clear" w:color="000000" w:fill="B7D8A0"/>
            <w:noWrap/>
            <w:vAlign w:val="center"/>
            <w:hideMark/>
          </w:tcPr>
          <w:p w14:paraId="6E20270C"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74,65</w:t>
            </w:r>
          </w:p>
        </w:tc>
        <w:tc>
          <w:tcPr>
            <w:tcW w:w="1189" w:type="dxa"/>
            <w:tcBorders>
              <w:top w:val="nil"/>
              <w:left w:val="nil"/>
              <w:bottom w:val="single" w:sz="8" w:space="0" w:color="FFFFFF"/>
              <w:right w:val="single" w:sz="8" w:space="0" w:color="FFFFFF"/>
            </w:tcBorders>
            <w:shd w:val="clear" w:color="000000" w:fill="B7D8A0"/>
            <w:noWrap/>
            <w:vAlign w:val="center"/>
            <w:hideMark/>
          </w:tcPr>
          <w:p w14:paraId="6E20270D"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334,83</w:t>
            </w:r>
          </w:p>
        </w:tc>
      </w:tr>
      <w:tr w:rsidR="00C66E44" w:rsidRPr="00C66E44" w14:paraId="6E202717" w14:textId="77777777" w:rsidTr="00F72BA3">
        <w:trPr>
          <w:trHeight w:val="20"/>
          <w:jc w:val="center"/>
        </w:trPr>
        <w:tc>
          <w:tcPr>
            <w:tcW w:w="1178" w:type="dxa"/>
            <w:tcBorders>
              <w:top w:val="single" w:sz="8" w:space="0" w:color="FFFFFF"/>
              <w:left w:val="single" w:sz="8" w:space="0" w:color="FFFFFF"/>
              <w:bottom w:val="nil"/>
              <w:right w:val="single" w:sz="12" w:space="0" w:color="FFFFFF"/>
            </w:tcBorders>
            <w:shd w:val="clear" w:color="000000" w:fill="70AD47"/>
            <w:noWrap/>
            <w:vAlign w:val="center"/>
            <w:hideMark/>
          </w:tcPr>
          <w:p w14:paraId="6E20270F"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Los Ríos</w:t>
            </w:r>
          </w:p>
        </w:tc>
        <w:tc>
          <w:tcPr>
            <w:tcW w:w="1204" w:type="dxa"/>
            <w:tcBorders>
              <w:top w:val="nil"/>
              <w:left w:val="nil"/>
              <w:bottom w:val="single" w:sz="8" w:space="0" w:color="FFFFFF"/>
              <w:right w:val="single" w:sz="8" w:space="0" w:color="FFFFFF"/>
            </w:tcBorders>
            <w:shd w:val="clear" w:color="000000" w:fill="DBEBD0"/>
            <w:noWrap/>
            <w:vAlign w:val="center"/>
            <w:hideMark/>
          </w:tcPr>
          <w:p w14:paraId="6E202710"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378,19</w:t>
            </w:r>
          </w:p>
        </w:tc>
        <w:tc>
          <w:tcPr>
            <w:tcW w:w="1214" w:type="dxa"/>
            <w:vMerge/>
            <w:tcBorders>
              <w:top w:val="nil"/>
              <w:left w:val="single" w:sz="8" w:space="0" w:color="FFFFFF"/>
              <w:bottom w:val="single" w:sz="8" w:space="0" w:color="FFFFFF"/>
              <w:right w:val="single" w:sz="8" w:space="0" w:color="FFFFFF"/>
            </w:tcBorders>
            <w:vAlign w:val="center"/>
            <w:hideMark/>
          </w:tcPr>
          <w:p w14:paraId="6E202711"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712"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DBEBD0"/>
            <w:noWrap/>
            <w:vAlign w:val="center"/>
            <w:hideMark/>
          </w:tcPr>
          <w:p w14:paraId="6E202713"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328,38</w:t>
            </w:r>
          </w:p>
        </w:tc>
        <w:tc>
          <w:tcPr>
            <w:tcW w:w="1141" w:type="dxa"/>
            <w:vMerge/>
            <w:tcBorders>
              <w:top w:val="nil"/>
              <w:left w:val="single" w:sz="8" w:space="0" w:color="FFFFFF"/>
              <w:bottom w:val="single" w:sz="8" w:space="0" w:color="FFFFFF"/>
              <w:right w:val="single" w:sz="8" w:space="0" w:color="FFFFFF"/>
            </w:tcBorders>
            <w:vAlign w:val="center"/>
            <w:hideMark/>
          </w:tcPr>
          <w:p w14:paraId="6E202714"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tcBorders>
              <w:top w:val="nil"/>
              <w:left w:val="nil"/>
              <w:bottom w:val="single" w:sz="8" w:space="0" w:color="FFFFFF"/>
              <w:right w:val="single" w:sz="8" w:space="0" w:color="FFFFFF"/>
            </w:tcBorders>
            <w:shd w:val="clear" w:color="000000" w:fill="B7D8A0"/>
            <w:noWrap/>
            <w:vAlign w:val="center"/>
            <w:hideMark/>
          </w:tcPr>
          <w:p w14:paraId="6E202715"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94,21</w:t>
            </w:r>
          </w:p>
        </w:tc>
        <w:tc>
          <w:tcPr>
            <w:tcW w:w="1189" w:type="dxa"/>
            <w:tcBorders>
              <w:top w:val="nil"/>
              <w:left w:val="nil"/>
              <w:bottom w:val="single" w:sz="8" w:space="0" w:color="FFFFFF"/>
              <w:right w:val="single" w:sz="8" w:space="0" w:color="FFFFFF"/>
            </w:tcBorders>
            <w:shd w:val="clear" w:color="000000" w:fill="B7D8A0"/>
            <w:noWrap/>
            <w:vAlign w:val="center"/>
            <w:hideMark/>
          </w:tcPr>
          <w:p w14:paraId="6E202716"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422,59</w:t>
            </w:r>
          </w:p>
        </w:tc>
      </w:tr>
      <w:tr w:rsidR="00C66E44" w:rsidRPr="00C66E44" w14:paraId="6E202720" w14:textId="77777777" w:rsidTr="00F72BA3">
        <w:trPr>
          <w:trHeight w:val="20"/>
          <w:jc w:val="center"/>
        </w:trPr>
        <w:tc>
          <w:tcPr>
            <w:tcW w:w="1178" w:type="dxa"/>
            <w:tcBorders>
              <w:top w:val="single" w:sz="8" w:space="0" w:color="FFFFFF"/>
              <w:left w:val="single" w:sz="8" w:space="0" w:color="FFFFFF"/>
              <w:bottom w:val="nil"/>
              <w:right w:val="single" w:sz="12" w:space="0" w:color="FFFFFF"/>
            </w:tcBorders>
            <w:shd w:val="clear" w:color="000000" w:fill="70AD47"/>
            <w:noWrap/>
            <w:vAlign w:val="center"/>
            <w:hideMark/>
          </w:tcPr>
          <w:p w14:paraId="6E202718"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Los Lagos</w:t>
            </w:r>
          </w:p>
        </w:tc>
        <w:tc>
          <w:tcPr>
            <w:tcW w:w="1204" w:type="dxa"/>
            <w:tcBorders>
              <w:top w:val="nil"/>
              <w:left w:val="nil"/>
              <w:bottom w:val="single" w:sz="8" w:space="0" w:color="FFFFFF"/>
              <w:right w:val="single" w:sz="8" w:space="0" w:color="FFFFFF"/>
            </w:tcBorders>
            <w:shd w:val="clear" w:color="000000" w:fill="B7D8A0"/>
            <w:noWrap/>
            <w:vAlign w:val="center"/>
            <w:hideMark/>
          </w:tcPr>
          <w:p w14:paraId="6E202719"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311,50</w:t>
            </w:r>
          </w:p>
        </w:tc>
        <w:tc>
          <w:tcPr>
            <w:tcW w:w="1214" w:type="dxa"/>
            <w:vMerge/>
            <w:tcBorders>
              <w:top w:val="nil"/>
              <w:left w:val="single" w:sz="8" w:space="0" w:color="FFFFFF"/>
              <w:bottom w:val="single" w:sz="8" w:space="0" w:color="FFFFFF"/>
              <w:right w:val="single" w:sz="8" w:space="0" w:color="FFFFFF"/>
            </w:tcBorders>
            <w:vAlign w:val="center"/>
            <w:hideMark/>
          </w:tcPr>
          <w:p w14:paraId="6E20271A"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71B"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B7D8A0"/>
            <w:noWrap/>
            <w:vAlign w:val="center"/>
            <w:hideMark/>
          </w:tcPr>
          <w:p w14:paraId="6E20271C"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270,47</w:t>
            </w:r>
          </w:p>
        </w:tc>
        <w:tc>
          <w:tcPr>
            <w:tcW w:w="1141" w:type="dxa"/>
            <w:vMerge/>
            <w:tcBorders>
              <w:top w:val="nil"/>
              <w:left w:val="single" w:sz="8" w:space="0" w:color="FFFFFF"/>
              <w:bottom w:val="single" w:sz="8" w:space="0" w:color="FFFFFF"/>
              <w:right w:val="single" w:sz="8" w:space="0" w:color="FFFFFF"/>
            </w:tcBorders>
            <w:vAlign w:val="center"/>
            <w:hideMark/>
          </w:tcPr>
          <w:p w14:paraId="6E20271D"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tcBorders>
              <w:top w:val="nil"/>
              <w:left w:val="nil"/>
              <w:bottom w:val="single" w:sz="8" w:space="0" w:color="FFFFFF"/>
              <w:right w:val="single" w:sz="8" w:space="0" w:color="FFFFFF"/>
            </w:tcBorders>
            <w:shd w:val="clear" w:color="000000" w:fill="B7D8A0"/>
            <w:noWrap/>
            <w:vAlign w:val="center"/>
            <w:hideMark/>
          </w:tcPr>
          <w:p w14:paraId="6E20271E"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77,60</w:t>
            </w:r>
          </w:p>
        </w:tc>
        <w:tc>
          <w:tcPr>
            <w:tcW w:w="1189" w:type="dxa"/>
            <w:tcBorders>
              <w:top w:val="nil"/>
              <w:left w:val="nil"/>
              <w:bottom w:val="single" w:sz="8" w:space="0" w:color="FFFFFF"/>
              <w:right w:val="single" w:sz="8" w:space="0" w:color="FFFFFF"/>
            </w:tcBorders>
            <w:shd w:val="clear" w:color="000000" w:fill="B7D8A0"/>
            <w:noWrap/>
            <w:vAlign w:val="center"/>
            <w:hideMark/>
          </w:tcPr>
          <w:p w14:paraId="6E20271F"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348,07</w:t>
            </w:r>
          </w:p>
        </w:tc>
      </w:tr>
      <w:tr w:rsidR="00C66E44" w:rsidRPr="00C66E44" w14:paraId="6E202722" w14:textId="77777777" w:rsidTr="00F72BA3">
        <w:trPr>
          <w:trHeight w:val="20"/>
          <w:jc w:val="center"/>
        </w:trPr>
        <w:tc>
          <w:tcPr>
            <w:tcW w:w="9600" w:type="dxa"/>
            <w:gridSpan w:val="8"/>
            <w:tcBorders>
              <w:top w:val="single" w:sz="8" w:space="0" w:color="FFFFFF"/>
              <w:left w:val="single" w:sz="8" w:space="0" w:color="FFFFFF"/>
              <w:bottom w:val="single" w:sz="8" w:space="0" w:color="FFFFFF"/>
              <w:right w:val="single" w:sz="12" w:space="0" w:color="FFFFFF"/>
            </w:tcBorders>
            <w:shd w:val="clear" w:color="000000" w:fill="70AD47"/>
            <w:noWrap/>
            <w:vAlign w:val="center"/>
            <w:hideMark/>
          </w:tcPr>
          <w:p w14:paraId="6E202721" w14:textId="77777777" w:rsidR="00C66E44" w:rsidRPr="00C66E44" w:rsidRDefault="00C66E44" w:rsidP="00C66E44">
            <w:pPr>
              <w:spacing w:after="0" w:line="240" w:lineRule="auto"/>
              <w:jc w:val="both"/>
              <w:rPr>
                <w:rFonts w:eastAsia="Times New Roman" w:cs="Times New Roman"/>
                <w:b/>
                <w:bCs/>
                <w:color w:val="FFFFFF"/>
                <w:sz w:val="18"/>
                <w:lang w:eastAsia="es-CL"/>
              </w:rPr>
            </w:pPr>
            <w:r w:rsidRPr="00C66E44">
              <w:rPr>
                <w:rFonts w:eastAsia="Times New Roman" w:cs="Times New Roman"/>
                <w:b/>
                <w:bCs/>
                <w:color w:val="FFFFFF"/>
                <w:sz w:val="18"/>
                <w:lang w:eastAsia="es-CL"/>
              </w:rPr>
              <w:t>Parámetros aplicados para la estimación de biomasa disponible en la estimación de resultados</w:t>
            </w:r>
          </w:p>
        </w:tc>
      </w:tr>
      <w:tr w:rsidR="00C66E44" w:rsidRPr="00C66E44" w14:paraId="6E20272B" w14:textId="77777777" w:rsidTr="00F72BA3">
        <w:trPr>
          <w:trHeight w:val="20"/>
          <w:jc w:val="center"/>
        </w:trPr>
        <w:tc>
          <w:tcPr>
            <w:tcW w:w="1178" w:type="dxa"/>
            <w:vMerge w:val="restart"/>
            <w:tcBorders>
              <w:top w:val="nil"/>
              <w:left w:val="single" w:sz="8" w:space="0" w:color="FFFFFF"/>
              <w:bottom w:val="single" w:sz="8" w:space="0" w:color="FFFFFF"/>
              <w:right w:val="single" w:sz="12" w:space="0" w:color="FFFFFF"/>
            </w:tcBorders>
            <w:shd w:val="clear" w:color="000000" w:fill="70AD47"/>
            <w:noWrap/>
            <w:vAlign w:val="center"/>
            <w:hideMark/>
          </w:tcPr>
          <w:p w14:paraId="6E202723"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Región</w:t>
            </w:r>
          </w:p>
        </w:tc>
        <w:tc>
          <w:tcPr>
            <w:tcW w:w="1204" w:type="dxa"/>
            <w:tcBorders>
              <w:top w:val="nil"/>
              <w:left w:val="nil"/>
              <w:bottom w:val="single" w:sz="8" w:space="0" w:color="FFFFFF"/>
              <w:right w:val="single" w:sz="8" w:space="0" w:color="FFFFFF"/>
            </w:tcBorders>
            <w:shd w:val="clear" w:color="000000" w:fill="DBEBD0"/>
            <w:vAlign w:val="center"/>
            <w:hideMark/>
          </w:tcPr>
          <w:p w14:paraId="6E202724"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Existencia</w:t>
            </w:r>
          </w:p>
        </w:tc>
        <w:tc>
          <w:tcPr>
            <w:tcW w:w="1214" w:type="dxa"/>
            <w:tcBorders>
              <w:top w:val="nil"/>
              <w:left w:val="nil"/>
              <w:bottom w:val="single" w:sz="8" w:space="0" w:color="FFFFFF"/>
              <w:right w:val="single" w:sz="8" w:space="0" w:color="FFFFFF"/>
            </w:tcBorders>
            <w:shd w:val="clear" w:color="000000" w:fill="DBEBD0"/>
            <w:vAlign w:val="center"/>
            <w:hideMark/>
          </w:tcPr>
          <w:p w14:paraId="6E202725"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Factor Expansión Bosque Nativo</w:t>
            </w:r>
          </w:p>
        </w:tc>
        <w:tc>
          <w:tcPr>
            <w:tcW w:w="1178" w:type="dxa"/>
            <w:tcBorders>
              <w:top w:val="nil"/>
              <w:left w:val="nil"/>
              <w:bottom w:val="single" w:sz="8" w:space="0" w:color="FFFFFF"/>
              <w:right w:val="single" w:sz="8" w:space="0" w:color="FFFFFF"/>
            </w:tcBorders>
            <w:shd w:val="clear" w:color="000000" w:fill="DBEBD0"/>
            <w:vAlign w:val="center"/>
            <w:hideMark/>
          </w:tcPr>
          <w:p w14:paraId="6E202726"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Densidad básica</w:t>
            </w:r>
          </w:p>
        </w:tc>
        <w:tc>
          <w:tcPr>
            <w:tcW w:w="1189" w:type="dxa"/>
            <w:tcBorders>
              <w:top w:val="nil"/>
              <w:left w:val="nil"/>
              <w:bottom w:val="single" w:sz="8" w:space="0" w:color="FFFFFF"/>
              <w:right w:val="single" w:sz="8" w:space="0" w:color="FFFFFF"/>
            </w:tcBorders>
            <w:shd w:val="clear" w:color="000000" w:fill="DBEBD0"/>
            <w:vAlign w:val="center"/>
            <w:hideMark/>
          </w:tcPr>
          <w:p w14:paraId="6E202727"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Biomasa aérea</w:t>
            </w:r>
          </w:p>
        </w:tc>
        <w:tc>
          <w:tcPr>
            <w:tcW w:w="1141" w:type="dxa"/>
            <w:tcBorders>
              <w:top w:val="nil"/>
              <w:left w:val="nil"/>
              <w:bottom w:val="single" w:sz="8" w:space="0" w:color="FFFFFF"/>
              <w:right w:val="single" w:sz="8" w:space="0" w:color="FFFFFF"/>
            </w:tcBorders>
            <w:shd w:val="clear" w:color="000000" w:fill="DBEBD0"/>
            <w:vAlign w:val="center"/>
            <w:hideMark/>
          </w:tcPr>
          <w:p w14:paraId="6E202728"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Relación Raíz-Tallo</w:t>
            </w:r>
          </w:p>
        </w:tc>
        <w:tc>
          <w:tcPr>
            <w:tcW w:w="1307" w:type="dxa"/>
            <w:tcBorders>
              <w:top w:val="nil"/>
              <w:left w:val="nil"/>
              <w:bottom w:val="single" w:sz="8" w:space="0" w:color="FFFFFF"/>
              <w:right w:val="single" w:sz="8" w:space="0" w:color="FFFFFF"/>
            </w:tcBorders>
            <w:shd w:val="clear" w:color="000000" w:fill="DBEBD0"/>
            <w:vAlign w:val="center"/>
            <w:hideMark/>
          </w:tcPr>
          <w:p w14:paraId="6E202729"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Biomasa subterránea</w:t>
            </w:r>
          </w:p>
        </w:tc>
        <w:tc>
          <w:tcPr>
            <w:tcW w:w="1189" w:type="dxa"/>
            <w:tcBorders>
              <w:top w:val="nil"/>
              <w:left w:val="nil"/>
              <w:bottom w:val="single" w:sz="8" w:space="0" w:color="FFFFFF"/>
              <w:right w:val="single" w:sz="8" w:space="0" w:color="FFFFFF"/>
            </w:tcBorders>
            <w:shd w:val="clear" w:color="000000" w:fill="DBEBD0"/>
            <w:vAlign w:val="center"/>
            <w:hideMark/>
          </w:tcPr>
          <w:p w14:paraId="6E20272A" w14:textId="77777777" w:rsidR="00C66E44" w:rsidRPr="00C66E44" w:rsidRDefault="00C66E44" w:rsidP="00C66E44">
            <w:pPr>
              <w:spacing w:after="0" w:line="240" w:lineRule="auto"/>
              <w:jc w:val="both"/>
              <w:rPr>
                <w:rFonts w:eastAsia="Times New Roman" w:cs="Times New Roman"/>
                <w:color w:val="000000"/>
                <w:sz w:val="18"/>
                <w:lang w:eastAsia="es-CL"/>
              </w:rPr>
            </w:pPr>
            <w:r w:rsidRPr="00C66E44">
              <w:rPr>
                <w:rFonts w:eastAsia="Times New Roman" w:cs="Times New Roman"/>
                <w:color w:val="000000"/>
                <w:sz w:val="18"/>
                <w:lang w:eastAsia="es-CL"/>
              </w:rPr>
              <w:t xml:space="preserve">Biomasa total </w:t>
            </w:r>
          </w:p>
        </w:tc>
      </w:tr>
      <w:tr w:rsidR="00C66E44" w:rsidRPr="00C66E44" w14:paraId="6E202734" w14:textId="77777777" w:rsidTr="00F72BA3">
        <w:trPr>
          <w:trHeight w:val="20"/>
          <w:jc w:val="center"/>
        </w:trPr>
        <w:tc>
          <w:tcPr>
            <w:tcW w:w="1178" w:type="dxa"/>
            <w:vMerge/>
            <w:tcBorders>
              <w:top w:val="nil"/>
              <w:left w:val="single" w:sz="8" w:space="0" w:color="FFFFFF"/>
              <w:bottom w:val="single" w:sz="8" w:space="0" w:color="FFFFFF"/>
              <w:right w:val="single" w:sz="12" w:space="0" w:color="FFFFFF"/>
            </w:tcBorders>
            <w:vAlign w:val="center"/>
            <w:hideMark/>
          </w:tcPr>
          <w:p w14:paraId="6E20272C" w14:textId="77777777" w:rsidR="00C66E44" w:rsidRPr="00C66E44" w:rsidRDefault="00C66E44" w:rsidP="00C66E44">
            <w:pPr>
              <w:spacing w:after="0" w:line="240" w:lineRule="auto"/>
              <w:rPr>
                <w:rFonts w:eastAsia="Times New Roman" w:cs="Times New Roman"/>
                <w:color w:val="FFFFFF"/>
                <w:sz w:val="18"/>
                <w:lang w:eastAsia="es-CL"/>
              </w:rPr>
            </w:pPr>
          </w:p>
        </w:tc>
        <w:tc>
          <w:tcPr>
            <w:tcW w:w="1204" w:type="dxa"/>
            <w:vMerge w:val="restart"/>
            <w:tcBorders>
              <w:top w:val="nil"/>
              <w:left w:val="single" w:sz="12" w:space="0" w:color="FFFFFF"/>
              <w:bottom w:val="single" w:sz="8" w:space="0" w:color="FFFFFF"/>
              <w:right w:val="single" w:sz="8" w:space="0" w:color="FFFFFF"/>
            </w:tcBorders>
            <w:shd w:val="clear" w:color="000000" w:fill="B7D8A0"/>
            <w:noWrap/>
            <w:vAlign w:val="center"/>
            <w:hideMark/>
          </w:tcPr>
          <w:p w14:paraId="6E20272D"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(m3/ha)</w:t>
            </w:r>
          </w:p>
        </w:tc>
        <w:tc>
          <w:tcPr>
            <w:tcW w:w="1214" w:type="dxa"/>
            <w:vMerge w:val="restart"/>
            <w:tcBorders>
              <w:top w:val="nil"/>
              <w:left w:val="single" w:sz="8" w:space="0" w:color="FFFFFF"/>
              <w:bottom w:val="single" w:sz="8" w:space="0" w:color="FFFFFF"/>
              <w:right w:val="single" w:sz="8" w:space="0" w:color="FFFFFF"/>
            </w:tcBorders>
            <w:shd w:val="clear" w:color="000000" w:fill="B7D8A0"/>
            <w:noWrap/>
            <w:vAlign w:val="center"/>
            <w:hideMark/>
          </w:tcPr>
          <w:p w14:paraId="6E20272E"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BEF</w:t>
            </w:r>
          </w:p>
        </w:tc>
        <w:tc>
          <w:tcPr>
            <w:tcW w:w="1178" w:type="dxa"/>
            <w:vMerge w:val="restart"/>
            <w:tcBorders>
              <w:top w:val="nil"/>
              <w:left w:val="single" w:sz="8" w:space="0" w:color="FFFFFF"/>
              <w:bottom w:val="single" w:sz="8" w:space="0" w:color="FFFFFF"/>
              <w:right w:val="single" w:sz="8" w:space="0" w:color="FFFFFF"/>
            </w:tcBorders>
            <w:shd w:val="clear" w:color="000000" w:fill="B7D8A0"/>
            <w:noWrap/>
            <w:vAlign w:val="center"/>
            <w:hideMark/>
          </w:tcPr>
          <w:p w14:paraId="6E20272F"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DB</w:t>
            </w:r>
          </w:p>
        </w:tc>
        <w:tc>
          <w:tcPr>
            <w:tcW w:w="1189" w:type="dxa"/>
            <w:tcBorders>
              <w:top w:val="nil"/>
              <w:left w:val="nil"/>
              <w:bottom w:val="nil"/>
              <w:right w:val="single" w:sz="8" w:space="0" w:color="FFFFFF"/>
            </w:tcBorders>
            <w:shd w:val="clear" w:color="000000" w:fill="B7D8A0"/>
            <w:noWrap/>
            <w:vAlign w:val="center"/>
            <w:hideMark/>
          </w:tcPr>
          <w:p w14:paraId="6E202730"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t Biomasa/</w:t>
            </w:r>
          </w:p>
        </w:tc>
        <w:tc>
          <w:tcPr>
            <w:tcW w:w="1141" w:type="dxa"/>
            <w:vMerge w:val="restart"/>
            <w:tcBorders>
              <w:top w:val="nil"/>
              <w:left w:val="single" w:sz="8" w:space="0" w:color="FFFFFF"/>
              <w:bottom w:val="single" w:sz="8" w:space="0" w:color="FFFFFF"/>
              <w:right w:val="single" w:sz="8" w:space="0" w:color="FFFFFF"/>
            </w:tcBorders>
            <w:shd w:val="clear" w:color="000000" w:fill="B7D8A0"/>
            <w:noWrap/>
            <w:vAlign w:val="center"/>
            <w:hideMark/>
          </w:tcPr>
          <w:p w14:paraId="6E202731"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w:t>
            </w:r>
          </w:p>
        </w:tc>
        <w:tc>
          <w:tcPr>
            <w:tcW w:w="1307" w:type="dxa"/>
            <w:vMerge w:val="restart"/>
            <w:tcBorders>
              <w:top w:val="nil"/>
              <w:left w:val="single" w:sz="8" w:space="0" w:color="FFFFFF"/>
              <w:bottom w:val="single" w:sz="8" w:space="0" w:color="FFFFFF"/>
              <w:right w:val="single" w:sz="8" w:space="0" w:color="FFFFFF"/>
            </w:tcBorders>
            <w:shd w:val="clear" w:color="000000" w:fill="B7D8A0"/>
            <w:noWrap/>
            <w:vAlign w:val="center"/>
            <w:hideMark/>
          </w:tcPr>
          <w:p w14:paraId="6E202732"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t Biomasa/ha</w:t>
            </w:r>
          </w:p>
        </w:tc>
        <w:tc>
          <w:tcPr>
            <w:tcW w:w="1189" w:type="dxa"/>
            <w:tcBorders>
              <w:top w:val="nil"/>
              <w:left w:val="nil"/>
              <w:bottom w:val="nil"/>
              <w:right w:val="single" w:sz="8" w:space="0" w:color="FFFFFF"/>
            </w:tcBorders>
            <w:shd w:val="clear" w:color="000000" w:fill="B7D8A0"/>
            <w:noWrap/>
            <w:vAlign w:val="center"/>
            <w:hideMark/>
          </w:tcPr>
          <w:p w14:paraId="6E202733"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t Biomasa/</w:t>
            </w:r>
          </w:p>
        </w:tc>
      </w:tr>
      <w:tr w:rsidR="00C66E44" w:rsidRPr="00C66E44" w14:paraId="6E20273D" w14:textId="77777777" w:rsidTr="00F72BA3">
        <w:trPr>
          <w:trHeight w:val="20"/>
          <w:jc w:val="center"/>
        </w:trPr>
        <w:tc>
          <w:tcPr>
            <w:tcW w:w="1178" w:type="dxa"/>
            <w:vMerge/>
            <w:tcBorders>
              <w:top w:val="nil"/>
              <w:left w:val="single" w:sz="8" w:space="0" w:color="FFFFFF"/>
              <w:bottom w:val="single" w:sz="8" w:space="0" w:color="FFFFFF"/>
              <w:right w:val="single" w:sz="12" w:space="0" w:color="FFFFFF"/>
            </w:tcBorders>
            <w:vAlign w:val="center"/>
            <w:hideMark/>
          </w:tcPr>
          <w:p w14:paraId="6E202735" w14:textId="77777777" w:rsidR="00C66E44" w:rsidRPr="00C66E44" w:rsidRDefault="00C66E44" w:rsidP="00C66E44">
            <w:pPr>
              <w:spacing w:after="0" w:line="240" w:lineRule="auto"/>
              <w:rPr>
                <w:rFonts w:eastAsia="Times New Roman" w:cs="Times New Roman"/>
                <w:color w:val="FFFFFF"/>
                <w:sz w:val="18"/>
                <w:lang w:eastAsia="es-CL"/>
              </w:rPr>
            </w:pPr>
          </w:p>
        </w:tc>
        <w:tc>
          <w:tcPr>
            <w:tcW w:w="1204" w:type="dxa"/>
            <w:vMerge/>
            <w:tcBorders>
              <w:top w:val="nil"/>
              <w:left w:val="single" w:sz="12" w:space="0" w:color="FFFFFF"/>
              <w:bottom w:val="single" w:sz="8" w:space="0" w:color="FFFFFF"/>
              <w:right w:val="single" w:sz="8" w:space="0" w:color="FFFFFF"/>
            </w:tcBorders>
            <w:vAlign w:val="center"/>
            <w:hideMark/>
          </w:tcPr>
          <w:p w14:paraId="6E202736" w14:textId="77777777" w:rsidR="00C66E44" w:rsidRPr="00C66E44" w:rsidRDefault="00C66E44" w:rsidP="00C66E44">
            <w:pPr>
              <w:spacing w:after="0" w:line="240" w:lineRule="auto"/>
              <w:rPr>
                <w:rFonts w:eastAsia="Times New Roman" w:cs="Times New Roman"/>
                <w:color w:val="000000"/>
                <w:sz w:val="18"/>
                <w:lang w:eastAsia="es-CL"/>
              </w:rPr>
            </w:pPr>
          </w:p>
        </w:tc>
        <w:tc>
          <w:tcPr>
            <w:tcW w:w="1214" w:type="dxa"/>
            <w:vMerge/>
            <w:tcBorders>
              <w:top w:val="nil"/>
              <w:left w:val="single" w:sz="8" w:space="0" w:color="FFFFFF"/>
              <w:bottom w:val="single" w:sz="8" w:space="0" w:color="FFFFFF"/>
              <w:right w:val="single" w:sz="8" w:space="0" w:color="FFFFFF"/>
            </w:tcBorders>
            <w:vAlign w:val="center"/>
            <w:hideMark/>
          </w:tcPr>
          <w:p w14:paraId="6E202737"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738"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B7D8A0"/>
            <w:noWrap/>
            <w:vAlign w:val="center"/>
            <w:hideMark/>
          </w:tcPr>
          <w:p w14:paraId="6E202739"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ha</w:t>
            </w:r>
          </w:p>
        </w:tc>
        <w:tc>
          <w:tcPr>
            <w:tcW w:w="1141" w:type="dxa"/>
            <w:vMerge/>
            <w:tcBorders>
              <w:top w:val="nil"/>
              <w:left w:val="single" w:sz="8" w:space="0" w:color="FFFFFF"/>
              <w:bottom w:val="single" w:sz="8" w:space="0" w:color="FFFFFF"/>
              <w:right w:val="single" w:sz="8" w:space="0" w:color="FFFFFF"/>
            </w:tcBorders>
            <w:vAlign w:val="center"/>
            <w:hideMark/>
          </w:tcPr>
          <w:p w14:paraId="6E20273A"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vMerge/>
            <w:tcBorders>
              <w:top w:val="nil"/>
              <w:left w:val="single" w:sz="8" w:space="0" w:color="FFFFFF"/>
              <w:bottom w:val="single" w:sz="8" w:space="0" w:color="FFFFFF"/>
              <w:right w:val="single" w:sz="8" w:space="0" w:color="FFFFFF"/>
            </w:tcBorders>
            <w:vAlign w:val="center"/>
            <w:hideMark/>
          </w:tcPr>
          <w:p w14:paraId="6E20273B"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B7D8A0"/>
            <w:noWrap/>
            <w:vAlign w:val="center"/>
            <w:hideMark/>
          </w:tcPr>
          <w:p w14:paraId="6E20273C"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ha</w:t>
            </w:r>
          </w:p>
        </w:tc>
      </w:tr>
      <w:tr w:rsidR="00C66E44" w:rsidRPr="00C66E44" w14:paraId="6E202746" w14:textId="77777777" w:rsidTr="00F72BA3">
        <w:trPr>
          <w:trHeight w:val="20"/>
          <w:jc w:val="center"/>
        </w:trPr>
        <w:tc>
          <w:tcPr>
            <w:tcW w:w="1178" w:type="dxa"/>
            <w:tcBorders>
              <w:top w:val="nil"/>
              <w:left w:val="single" w:sz="8" w:space="0" w:color="FFFFFF"/>
              <w:bottom w:val="nil"/>
              <w:right w:val="single" w:sz="12" w:space="0" w:color="FFFFFF"/>
            </w:tcBorders>
            <w:shd w:val="clear" w:color="000000" w:fill="70AD47"/>
            <w:noWrap/>
            <w:vAlign w:val="center"/>
            <w:hideMark/>
          </w:tcPr>
          <w:p w14:paraId="6E20273E"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Maule</w:t>
            </w:r>
          </w:p>
        </w:tc>
        <w:tc>
          <w:tcPr>
            <w:tcW w:w="1204" w:type="dxa"/>
            <w:tcBorders>
              <w:top w:val="nil"/>
              <w:left w:val="nil"/>
              <w:bottom w:val="single" w:sz="8" w:space="0" w:color="FFFFFF"/>
              <w:right w:val="single" w:sz="8" w:space="0" w:color="FFFFFF"/>
            </w:tcBorders>
            <w:shd w:val="clear" w:color="000000" w:fill="DBEBD0"/>
            <w:noWrap/>
            <w:vAlign w:val="center"/>
            <w:hideMark/>
          </w:tcPr>
          <w:p w14:paraId="6E20273F"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92,54</w:t>
            </w:r>
          </w:p>
        </w:tc>
        <w:tc>
          <w:tcPr>
            <w:tcW w:w="1214" w:type="dxa"/>
            <w:vMerge w:val="restart"/>
            <w:tcBorders>
              <w:top w:val="nil"/>
              <w:left w:val="single" w:sz="8" w:space="0" w:color="FFFFFF"/>
              <w:bottom w:val="single" w:sz="8" w:space="0" w:color="FFFFFF"/>
              <w:right w:val="single" w:sz="8" w:space="0" w:color="FFFFFF"/>
            </w:tcBorders>
            <w:shd w:val="clear" w:color="000000" w:fill="DBEBD0"/>
            <w:noWrap/>
            <w:vAlign w:val="center"/>
            <w:hideMark/>
          </w:tcPr>
          <w:p w14:paraId="6E202740"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1,75</w:t>
            </w:r>
          </w:p>
        </w:tc>
        <w:tc>
          <w:tcPr>
            <w:tcW w:w="1178" w:type="dxa"/>
            <w:vMerge w:val="restart"/>
            <w:tcBorders>
              <w:top w:val="nil"/>
              <w:left w:val="single" w:sz="8" w:space="0" w:color="FFFFFF"/>
              <w:bottom w:val="single" w:sz="8" w:space="0" w:color="FFFFFF"/>
              <w:right w:val="single" w:sz="8" w:space="0" w:color="FFFFFF"/>
            </w:tcBorders>
            <w:shd w:val="clear" w:color="000000" w:fill="DBEBD0"/>
            <w:noWrap/>
            <w:vAlign w:val="center"/>
            <w:hideMark/>
          </w:tcPr>
          <w:p w14:paraId="6E202741"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0,5</w:t>
            </w:r>
          </w:p>
        </w:tc>
        <w:tc>
          <w:tcPr>
            <w:tcW w:w="1189" w:type="dxa"/>
            <w:tcBorders>
              <w:top w:val="nil"/>
              <w:left w:val="nil"/>
              <w:bottom w:val="single" w:sz="8" w:space="0" w:color="FFFFFF"/>
              <w:right w:val="single" w:sz="8" w:space="0" w:color="FFFFFF"/>
            </w:tcBorders>
            <w:shd w:val="clear" w:color="000000" w:fill="DBEBD0"/>
            <w:noWrap/>
            <w:vAlign w:val="center"/>
            <w:hideMark/>
          </w:tcPr>
          <w:p w14:paraId="6E202742"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80,35</w:t>
            </w:r>
          </w:p>
        </w:tc>
        <w:tc>
          <w:tcPr>
            <w:tcW w:w="1141" w:type="dxa"/>
            <w:vMerge w:val="restart"/>
            <w:tcBorders>
              <w:top w:val="nil"/>
              <w:left w:val="single" w:sz="8" w:space="0" w:color="FFFFFF"/>
              <w:bottom w:val="single" w:sz="8" w:space="0" w:color="FFFFFF"/>
              <w:right w:val="single" w:sz="8" w:space="0" w:color="FFFFFF"/>
            </w:tcBorders>
            <w:shd w:val="clear" w:color="000000" w:fill="B7D8A0"/>
            <w:noWrap/>
            <w:vAlign w:val="center"/>
            <w:hideMark/>
          </w:tcPr>
          <w:p w14:paraId="6E202743" w14:textId="77777777" w:rsidR="00C66E44" w:rsidRPr="00C66E44" w:rsidRDefault="00C66E44" w:rsidP="00C66E44">
            <w:pPr>
              <w:spacing w:after="0" w:line="240" w:lineRule="auto"/>
              <w:jc w:val="center"/>
              <w:rPr>
                <w:rFonts w:eastAsia="Times New Roman" w:cs="Times New Roman"/>
                <w:color w:val="000000"/>
                <w:sz w:val="18"/>
                <w:lang w:eastAsia="es-CL"/>
              </w:rPr>
            </w:pPr>
            <w:r w:rsidRPr="00C66E44">
              <w:rPr>
                <w:rFonts w:eastAsia="Times New Roman" w:cs="Times New Roman"/>
                <w:color w:val="000000"/>
                <w:sz w:val="18"/>
                <w:lang w:eastAsia="es-CL"/>
              </w:rPr>
              <w:t>28,69%</w:t>
            </w:r>
          </w:p>
        </w:tc>
        <w:tc>
          <w:tcPr>
            <w:tcW w:w="1307" w:type="dxa"/>
            <w:tcBorders>
              <w:top w:val="nil"/>
              <w:left w:val="nil"/>
              <w:bottom w:val="single" w:sz="8" w:space="0" w:color="FFFFFF"/>
              <w:right w:val="single" w:sz="8" w:space="0" w:color="FFFFFF"/>
            </w:tcBorders>
            <w:shd w:val="clear" w:color="000000" w:fill="DBEBD0"/>
            <w:noWrap/>
            <w:vAlign w:val="center"/>
            <w:hideMark/>
          </w:tcPr>
          <w:p w14:paraId="6E202744"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23,05</w:t>
            </w:r>
          </w:p>
        </w:tc>
        <w:tc>
          <w:tcPr>
            <w:tcW w:w="1189" w:type="dxa"/>
            <w:tcBorders>
              <w:top w:val="nil"/>
              <w:left w:val="nil"/>
              <w:bottom w:val="single" w:sz="8" w:space="0" w:color="FFFFFF"/>
              <w:right w:val="single" w:sz="8" w:space="0" w:color="FFFFFF"/>
            </w:tcBorders>
            <w:shd w:val="clear" w:color="000000" w:fill="DBEBD0"/>
            <w:noWrap/>
            <w:vAlign w:val="center"/>
            <w:hideMark/>
          </w:tcPr>
          <w:p w14:paraId="6E202745"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103,40</w:t>
            </w:r>
          </w:p>
        </w:tc>
      </w:tr>
      <w:tr w:rsidR="00C66E44" w:rsidRPr="00C66E44" w14:paraId="6E20274F" w14:textId="77777777" w:rsidTr="00F72BA3">
        <w:trPr>
          <w:trHeight w:val="20"/>
          <w:jc w:val="center"/>
        </w:trPr>
        <w:tc>
          <w:tcPr>
            <w:tcW w:w="1178" w:type="dxa"/>
            <w:tcBorders>
              <w:top w:val="single" w:sz="8" w:space="0" w:color="FFFFFF"/>
              <w:left w:val="single" w:sz="8" w:space="0" w:color="FFFFFF"/>
              <w:bottom w:val="nil"/>
              <w:right w:val="single" w:sz="12" w:space="0" w:color="FFFFFF"/>
            </w:tcBorders>
            <w:shd w:val="clear" w:color="000000" w:fill="70AD47"/>
            <w:noWrap/>
            <w:vAlign w:val="center"/>
            <w:hideMark/>
          </w:tcPr>
          <w:p w14:paraId="6E202747"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Biobío</w:t>
            </w:r>
          </w:p>
        </w:tc>
        <w:tc>
          <w:tcPr>
            <w:tcW w:w="1204" w:type="dxa"/>
            <w:tcBorders>
              <w:top w:val="nil"/>
              <w:left w:val="nil"/>
              <w:bottom w:val="single" w:sz="8" w:space="0" w:color="FFFFFF"/>
              <w:right w:val="single" w:sz="8" w:space="0" w:color="FFFFFF"/>
            </w:tcBorders>
            <w:shd w:val="clear" w:color="000000" w:fill="B7D8A0"/>
            <w:noWrap/>
            <w:vAlign w:val="center"/>
            <w:hideMark/>
          </w:tcPr>
          <w:p w14:paraId="6E202748"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172,62</w:t>
            </w:r>
          </w:p>
        </w:tc>
        <w:tc>
          <w:tcPr>
            <w:tcW w:w="1214" w:type="dxa"/>
            <w:vMerge/>
            <w:tcBorders>
              <w:top w:val="nil"/>
              <w:left w:val="single" w:sz="8" w:space="0" w:color="FFFFFF"/>
              <w:bottom w:val="single" w:sz="8" w:space="0" w:color="FFFFFF"/>
              <w:right w:val="single" w:sz="8" w:space="0" w:color="FFFFFF"/>
            </w:tcBorders>
            <w:vAlign w:val="center"/>
            <w:hideMark/>
          </w:tcPr>
          <w:p w14:paraId="6E202749"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74A"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B7D8A0"/>
            <w:noWrap/>
            <w:vAlign w:val="center"/>
            <w:hideMark/>
          </w:tcPr>
          <w:p w14:paraId="6E20274B"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149,88</w:t>
            </w:r>
          </w:p>
        </w:tc>
        <w:tc>
          <w:tcPr>
            <w:tcW w:w="1141" w:type="dxa"/>
            <w:vMerge/>
            <w:tcBorders>
              <w:top w:val="nil"/>
              <w:left w:val="single" w:sz="8" w:space="0" w:color="FFFFFF"/>
              <w:bottom w:val="single" w:sz="8" w:space="0" w:color="FFFFFF"/>
              <w:right w:val="single" w:sz="8" w:space="0" w:color="FFFFFF"/>
            </w:tcBorders>
            <w:vAlign w:val="center"/>
            <w:hideMark/>
          </w:tcPr>
          <w:p w14:paraId="6E20274C"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tcBorders>
              <w:top w:val="nil"/>
              <w:left w:val="nil"/>
              <w:bottom w:val="single" w:sz="8" w:space="0" w:color="FFFFFF"/>
              <w:right w:val="single" w:sz="8" w:space="0" w:color="FFFFFF"/>
            </w:tcBorders>
            <w:shd w:val="clear" w:color="000000" w:fill="DBEBD0"/>
            <w:noWrap/>
            <w:vAlign w:val="center"/>
            <w:hideMark/>
          </w:tcPr>
          <w:p w14:paraId="6E20274D"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43,00</w:t>
            </w:r>
          </w:p>
        </w:tc>
        <w:tc>
          <w:tcPr>
            <w:tcW w:w="1189" w:type="dxa"/>
            <w:tcBorders>
              <w:top w:val="nil"/>
              <w:left w:val="nil"/>
              <w:bottom w:val="single" w:sz="8" w:space="0" w:color="FFFFFF"/>
              <w:right w:val="single" w:sz="8" w:space="0" w:color="FFFFFF"/>
            </w:tcBorders>
            <w:shd w:val="clear" w:color="000000" w:fill="DBEBD0"/>
            <w:noWrap/>
            <w:vAlign w:val="center"/>
            <w:hideMark/>
          </w:tcPr>
          <w:p w14:paraId="6E20274E"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192,88</w:t>
            </w:r>
          </w:p>
        </w:tc>
      </w:tr>
      <w:tr w:rsidR="00C66E44" w:rsidRPr="00C66E44" w14:paraId="6E202758" w14:textId="77777777" w:rsidTr="00F72BA3">
        <w:trPr>
          <w:trHeight w:val="20"/>
          <w:jc w:val="center"/>
        </w:trPr>
        <w:tc>
          <w:tcPr>
            <w:tcW w:w="1178" w:type="dxa"/>
            <w:tcBorders>
              <w:top w:val="single" w:sz="8" w:space="0" w:color="FFFFFF"/>
              <w:left w:val="single" w:sz="8" w:space="0" w:color="FFFFFF"/>
              <w:bottom w:val="nil"/>
              <w:right w:val="single" w:sz="12" w:space="0" w:color="FFFFFF"/>
            </w:tcBorders>
            <w:shd w:val="clear" w:color="000000" w:fill="70AD47"/>
            <w:noWrap/>
            <w:vAlign w:val="center"/>
            <w:hideMark/>
          </w:tcPr>
          <w:p w14:paraId="6E202750"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La Araucanía</w:t>
            </w:r>
          </w:p>
        </w:tc>
        <w:tc>
          <w:tcPr>
            <w:tcW w:w="1204" w:type="dxa"/>
            <w:tcBorders>
              <w:top w:val="nil"/>
              <w:left w:val="nil"/>
              <w:bottom w:val="single" w:sz="8" w:space="0" w:color="FFFFFF"/>
              <w:right w:val="single" w:sz="8" w:space="0" w:color="FFFFFF"/>
            </w:tcBorders>
            <w:shd w:val="clear" w:color="000000" w:fill="DBEBD0"/>
            <w:noWrap/>
            <w:vAlign w:val="center"/>
            <w:hideMark/>
          </w:tcPr>
          <w:p w14:paraId="6E202751"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290,60</w:t>
            </w:r>
          </w:p>
        </w:tc>
        <w:tc>
          <w:tcPr>
            <w:tcW w:w="1214" w:type="dxa"/>
            <w:vMerge/>
            <w:tcBorders>
              <w:top w:val="nil"/>
              <w:left w:val="single" w:sz="8" w:space="0" w:color="FFFFFF"/>
              <w:bottom w:val="single" w:sz="8" w:space="0" w:color="FFFFFF"/>
              <w:right w:val="single" w:sz="8" w:space="0" w:color="FFFFFF"/>
            </w:tcBorders>
            <w:vAlign w:val="center"/>
            <w:hideMark/>
          </w:tcPr>
          <w:p w14:paraId="6E202752"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753"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DBEBD0"/>
            <w:noWrap/>
            <w:vAlign w:val="center"/>
            <w:hideMark/>
          </w:tcPr>
          <w:p w14:paraId="6E202754"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252,30</w:t>
            </w:r>
          </w:p>
        </w:tc>
        <w:tc>
          <w:tcPr>
            <w:tcW w:w="1141" w:type="dxa"/>
            <w:vMerge/>
            <w:tcBorders>
              <w:top w:val="nil"/>
              <w:left w:val="single" w:sz="8" w:space="0" w:color="FFFFFF"/>
              <w:bottom w:val="single" w:sz="8" w:space="0" w:color="FFFFFF"/>
              <w:right w:val="single" w:sz="8" w:space="0" w:color="FFFFFF"/>
            </w:tcBorders>
            <w:vAlign w:val="center"/>
            <w:hideMark/>
          </w:tcPr>
          <w:p w14:paraId="6E202755"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tcBorders>
              <w:top w:val="nil"/>
              <w:left w:val="nil"/>
              <w:bottom w:val="single" w:sz="8" w:space="0" w:color="FFFFFF"/>
              <w:right w:val="single" w:sz="8" w:space="0" w:color="FFFFFF"/>
            </w:tcBorders>
            <w:shd w:val="clear" w:color="000000" w:fill="DBEBD0"/>
            <w:noWrap/>
            <w:vAlign w:val="center"/>
            <w:hideMark/>
          </w:tcPr>
          <w:p w14:paraId="6E202756"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72,38</w:t>
            </w:r>
          </w:p>
        </w:tc>
        <w:tc>
          <w:tcPr>
            <w:tcW w:w="1189" w:type="dxa"/>
            <w:tcBorders>
              <w:top w:val="nil"/>
              <w:left w:val="nil"/>
              <w:bottom w:val="single" w:sz="8" w:space="0" w:color="FFFFFF"/>
              <w:right w:val="single" w:sz="8" w:space="0" w:color="FFFFFF"/>
            </w:tcBorders>
            <w:shd w:val="clear" w:color="000000" w:fill="DBEBD0"/>
            <w:noWrap/>
            <w:vAlign w:val="center"/>
            <w:hideMark/>
          </w:tcPr>
          <w:p w14:paraId="6E202757"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324,68</w:t>
            </w:r>
          </w:p>
        </w:tc>
      </w:tr>
      <w:tr w:rsidR="00C66E44" w:rsidRPr="00C66E44" w14:paraId="6E202761" w14:textId="77777777" w:rsidTr="00F72BA3">
        <w:trPr>
          <w:trHeight w:val="20"/>
          <w:jc w:val="center"/>
        </w:trPr>
        <w:tc>
          <w:tcPr>
            <w:tcW w:w="1178" w:type="dxa"/>
            <w:tcBorders>
              <w:top w:val="single" w:sz="8" w:space="0" w:color="FFFFFF"/>
              <w:left w:val="single" w:sz="8" w:space="0" w:color="FFFFFF"/>
              <w:bottom w:val="nil"/>
              <w:right w:val="single" w:sz="12" w:space="0" w:color="FFFFFF"/>
            </w:tcBorders>
            <w:shd w:val="clear" w:color="000000" w:fill="70AD47"/>
            <w:noWrap/>
            <w:vAlign w:val="center"/>
            <w:hideMark/>
          </w:tcPr>
          <w:p w14:paraId="6E202759"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Los Ríos</w:t>
            </w:r>
          </w:p>
        </w:tc>
        <w:tc>
          <w:tcPr>
            <w:tcW w:w="1204" w:type="dxa"/>
            <w:tcBorders>
              <w:top w:val="nil"/>
              <w:left w:val="nil"/>
              <w:bottom w:val="single" w:sz="8" w:space="0" w:color="FFFFFF"/>
              <w:right w:val="single" w:sz="8" w:space="0" w:color="FFFFFF"/>
            </w:tcBorders>
            <w:shd w:val="clear" w:color="000000" w:fill="B7D8A0"/>
            <w:noWrap/>
            <w:vAlign w:val="center"/>
            <w:hideMark/>
          </w:tcPr>
          <w:p w14:paraId="6E20275A"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357,43</w:t>
            </w:r>
          </w:p>
        </w:tc>
        <w:tc>
          <w:tcPr>
            <w:tcW w:w="1214" w:type="dxa"/>
            <w:vMerge/>
            <w:tcBorders>
              <w:top w:val="nil"/>
              <w:left w:val="single" w:sz="8" w:space="0" w:color="FFFFFF"/>
              <w:bottom w:val="single" w:sz="8" w:space="0" w:color="FFFFFF"/>
              <w:right w:val="single" w:sz="8" w:space="0" w:color="FFFFFF"/>
            </w:tcBorders>
            <w:vAlign w:val="center"/>
            <w:hideMark/>
          </w:tcPr>
          <w:p w14:paraId="6E20275B"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75C"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B7D8A0"/>
            <w:noWrap/>
            <w:vAlign w:val="center"/>
            <w:hideMark/>
          </w:tcPr>
          <w:p w14:paraId="6E20275D"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310,35</w:t>
            </w:r>
          </w:p>
        </w:tc>
        <w:tc>
          <w:tcPr>
            <w:tcW w:w="1141" w:type="dxa"/>
            <w:vMerge/>
            <w:tcBorders>
              <w:top w:val="nil"/>
              <w:left w:val="single" w:sz="8" w:space="0" w:color="FFFFFF"/>
              <w:bottom w:val="single" w:sz="8" w:space="0" w:color="FFFFFF"/>
              <w:right w:val="single" w:sz="8" w:space="0" w:color="FFFFFF"/>
            </w:tcBorders>
            <w:vAlign w:val="center"/>
            <w:hideMark/>
          </w:tcPr>
          <w:p w14:paraId="6E20275E"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tcBorders>
              <w:top w:val="nil"/>
              <w:left w:val="nil"/>
              <w:bottom w:val="single" w:sz="8" w:space="0" w:color="FFFFFF"/>
              <w:right w:val="single" w:sz="8" w:space="0" w:color="FFFFFF"/>
            </w:tcBorders>
            <w:shd w:val="clear" w:color="000000" w:fill="DBEBD0"/>
            <w:noWrap/>
            <w:vAlign w:val="center"/>
            <w:hideMark/>
          </w:tcPr>
          <w:p w14:paraId="6E20275F"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89,04</w:t>
            </w:r>
          </w:p>
        </w:tc>
        <w:tc>
          <w:tcPr>
            <w:tcW w:w="1189" w:type="dxa"/>
            <w:tcBorders>
              <w:top w:val="nil"/>
              <w:left w:val="nil"/>
              <w:bottom w:val="single" w:sz="8" w:space="0" w:color="FFFFFF"/>
              <w:right w:val="single" w:sz="8" w:space="0" w:color="FFFFFF"/>
            </w:tcBorders>
            <w:shd w:val="clear" w:color="000000" w:fill="DBEBD0"/>
            <w:noWrap/>
            <w:vAlign w:val="center"/>
            <w:hideMark/>
          </w:tcPr>
          <w:p w14:paraId="6E202760"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399,39</w:t>
            </w:r>
          </w:p>
        </w:tc>
      </w:tr>
      <w:tr w:rsidR="00C66E44" w:rsidRPr="00C66E44" w14:paraId="6E20276A" w14:textId="77777777" w:rsidTr="00F72BA3">
        <w:trPr>
          <w:trHeight w:val="20"/>
          <w:jc w:val="center"/>
        </w:trPr>
        <w:tc>
          <w:tcPr>
            <w:tcW w:w="1178" w:type="dxa"/>
            <w:tcBorders>
              <w:top w:val="single" w:sz="8" w:space="0" w:color="FFFFFF"/>
              <w:left w:val="single" w:sz="8" w:space="0" w:color="FFFFFF"/>
              <w:bottom w:val="single" w:sz="8" w:space="0" w:color="FFFFFF"/>
              <w:right w:val="single" w:sz="12" w:space="0" w:color="FFFFFF"/>
            </w:tcBorders>
            <w:shd w:val="clear" w:color="000000" w:fill="70AD47"/>
            <w:noWrap/>
            <w:vAlign w:val="center"/>
            <w:hideMark/>
          </w:tcPr>
          <w:p w14:paraId="6E202762" w14:textId="77777777" w:rsidR="00C66E44" w:rsidRPr="00C66E44" w:rsidRDefault="00C66E44" w:rsidP="00C66E44">
            <w:pPr>
              <w:spacing w:after="0" w:line="240" w:lineRule="auto"/>
              <w:jc w:val="both"/>
              <w:rPr>
                <w:rFonts w:eastAsia="Times New Roman" w:cs="Times New Roman"/>
                <w:color w:val="FFFFFF"/>
                <w:sz w:val="18"/>
                <w:lang w:eastAsia="es-CL"/>
              </w:rPr>
            </w:pPr>
            <w:r w:rsidRPr="00C66E44">
              <w:rPr>
                <w:rFonts w:eastAsia="Times New Roman" w:cs="Times New Roman"/>
                <w:color w:val="FFFFFF"/>
                <w:sz w:val="18"/>
                <w:lang w:eastAsia="es-CL"/>
              </w:rPr>
              <w:t>Los Lagos</w:t>
            </w:r>
          </w:p>
        </w:tc>
        <w:tc>
          <w:tcPr>
            <w:tcW w:w="1204" w:type="dxa"/>
            <w:tcBorders>
              <w:top w:val="nil"/>
              <w:left w:val="nil"/>
              <w:bottom w:val="single" w:sz="8" w:space="0" w:color="FFFFFF"/>
              <w:right w:val="single" w:sz="8" w:space="0" w:color="FFFFFF"/>
            </w:tcBorders>
            <w:shd w:val="clear" w:color="000000" w:fill="DBEBD0"/>
            <w:noWrap/>
            <w:vAlign w:val="center"/>
            <w:hideMark/>
          </w:tcPr>
          <w:p w14:paraId="6E202763"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265,36</w:t>
            </w:r>
          </w:p>
        </w:tc>
        <w:tc>
          <w:tcPr>
            <w:tcW w:w="1214" w:type="dxa"/>
            <w:vMerge/>
            <w:tcBorders>
              <w:top w:val="nil"/>
              <w:left w:val="single" w:sz="8" w:space="0" w:color="FFFFFF"/>
              <w:bottom w:val="single" w:sz="8" w:space="0" w:color="FFFFFF"/>
              <w:right w:val="single" w:sz="8" w:space="0" w:color="FFFFFF"/>
            </w:tcBorders>
            <w:vAlign w:val="center"/>
            <w:hideMark/>
          </w:tcPr>
          <w:p w14:paraId="6E202764" w14:textId="77777777" w:rsidR="00C66E44" w:rsidRPr="00C66E44" w:rsidRDefault="00C66E44" w:rsidP="00C66E44">
            <w:pPr>
              <w:spacing w:after="0" w:line="240" w:lineRule="auto"/>
              <w:rPr>
                <w:rFonts w:eastAsia="Times New Roman" w:cs="Times New Roman"/>
                <w:color w:val="000000"/>
                <w:sz w:val="18"/>
                <w:lang w:eastAsia="es-CL"/>
              </w:rPr>
            </w:pPr>
          </w:p>
        </w:tc>
        <w:tc>
          <w:tcPr>
            <w:tcW w:w="1178" w:type="dxa"/>
            <w:vMerge/>
            <w:tcBorders>
              <w:top w:val="nil"/>
              <w:left w:val="single" w:sz="8" w:space="0" w:color="FFFFFF"/>
              <w:bottom w:val="single" w:sz="8" w:space="0" w:color="FFFFFF"/>
              <w:right w:val="single" w:sz="8" w:space="0" w:color="FFFFFF"/>
            </w:tcBorders>
            <w:vAlign w:val="center"/>
            <w:hideMark/>
          </w:tcPr>
          <w:p w14:paraId="6E202765" w14:textId="77777777" w:rsidR="00C66E44" w:rsidRPr="00C66E44" w:rsidRDefault="00C66E44" w:rsidP="00C66E44">
            <w:pPr>
              <w:spacing w:after="0" w:line="240" w:lineRule="auto"/>
              <w:rPr>
                <w:rFonts w:eastAsia="Times New Roman" w:cs="Times New Roman"/>
                <w:color w:val="000000"/>
                <w:sz w:val="18"/>
                <w:lang w:eastAsia="es-CL"/>
              </w:rPr>
            </w:pPr>
          </w:p>
        </w:tc>
        <w:tc>
          <w:tcPr>
            <w:tcW w:w="1189" w:type="dxa"/>
            <w:tcBorders>
              <w:top w:val="nil"/>
              <w:left w:val="nil"/>
              <w:bottom w:val="single" w:sz="8" w:space="0" w:color="FFFFFF"/>
              <w:right w:val="single" w:sz="8" w:space="0" w:color="FFFFFF"/>
            </w:tcBorders>
            <w:shd w:val="clear" w:color="000000" w:fill="DBEBD0"/>
            <w:noWrap/>
            <w:vAlign w:val="center"/>
            <w:hideMark/>
          </w:tcPr>
          <w:p w14:paraId="6E202766"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230,41</w:t>
            </w:r>
          </w:p>
        </w:tc>
        <w:tc>
          <w:tcPr>
            <w:tcW w:w="1141" w:type="dxa"/>
            <w:vMerge/>
            <w:tcBorders>
              <w:top w:val="nil"/>
              <w:left w:val="single" w:sz="8" w:space="0" w:color="FFFFFF"/>
              <w:bottom w:val="single" w:sz="8" w:space="0" w:color="FFFFFF"/>
              <w:right w:val="single" w:sz="8" w:space="0" w:color="FFFFFF"/>
            </w:tcBorders>
            <w:vAlign w:val="center"/>
            <w:hideMark/>
          </w:tcPr>
          <w:p w14:paraId="6E202767" w14:textId="77777777" w:rsidR="00C66E44" w:rsidRPr="00C66E44" w:rsidRDefault="00C66E44" w:rsidP="00C66E44">
            <w:pPr>
              <w:spacing w:after="0" w:line="240" w:lineRule="auto"/>
              <w:rPr>
                <w:rFonts w:eastAsia="Times New Roman" w:cs="Times New Roman"/>
                <w:color w:val="000000"/>
                <w:sz w:val="18"/>
                <w:lang w:eastAsia="es-CL"/>
              </w:rPr>
            </w:pPr>
          </w:p>
        </w:tc>
        <w:tc>
          <w:tcPr>
            <w:tcW w:w="1307" w:type="dxa"/>
            <w:tcBorders>
              <w:top w:val="nil"/>
              <w:left w:val="nil"/>
              <w:bottom w:val="single" w:sz="8" w:space="0" w:color="FFFFFF"/>
              <w:right w:val="single" w:sz="8" w:space="0" w:color="FFFFFF"/>
            </w:tcBorders>
            <w:shd w:val="clear" w:color="000000" w:fill="DBEBD0"/>
            <w:noWrap/>
            <w:vAlign w:val="center"/>
            <w:hideMark/>
          </w:tcPr>
          <w:p w14:paraId="6E202768"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66,10</w:t>
            </w:r>
          </w:p>
        </w:tc>
        <w:tc>
          <w:tcPr>
            <w:tcW w:w="1189" w:type="dxa"/>
            <w:tcBorders>
              <w:top w:val="nil"/>
              <w:left w:val="nil"/>
              <w:bottom w:val="single" w:sz="8" w:space="0" w:color="FFFFFF"/>
              <w:right w:val="single" w:sz="8" w:space="0" w:color="FFFFFF"/>
            </w:tcBorders>
            <w:shd w:val="clear" w:color="000000" w:fill="DBEBD0"/>
            <w:noWrap/>
            <w:vAlign w:val="center"/>
            <w:hideMark/>
          </w:tcPr>
          <w:p w14:paraId="6E202769" w14:textId="77777777" w:rsidR="00C66E44" w:rsidRPr="00C66E44" w:rsidRDefault="00C66E44" w:rsidP="00C66E44">
            <w:pPr>
              <w:spacing w:after="0" w:line="240" w:lineRule="auto"/>
              <w:jc w:val="right"/>
              <w:rPr>
                <w:rFonts w:eastAsia="Times New Roman" w:cs="Times New Roman"/>
                <w:color w:val="000000"/>
                <w:sz w:val="18"/>
                <w:lang w:eastAsia="es-CL"/>
              </w:rPr>
            </w:pPr>
            <w:r w:rsidRPr="00C66E44">
              <w:rPr>
                <w:rFonts w:eastAsia="Times New Roman" w:cs="Times New Roman"/>
                <w:color w:val="000000"/>
                <w:sz w:val="18"/>
                <w:lang w:eastAsia="es-CL"/>
              </w:rPr>
              <w:t>296,51</w:t>
            </w:r>
          </w:p>
        </w:tc>
      </w:tr>
    </w:tbl>
    <w:p w14:paraId="6E20276B" w14:textId="77777777" w:rsidR="00C66E44" w:rsidRPr="00A16D11" w:rsidRDefault="00C66E44" w:rsidP="000B23C5">
      <w:pPr>
        <w:rPr>
          <w:rFonts w:eastAsia="Times New Roman" w:cstheme="majorHAnsi"/>
        </w:rPr>
      </w:pPr>
    </w:p>
    <w:p w14:paraId="6E20276C" w14:textId="77777777" w:rsidR="004F256F" w:rsidRPr="00A16D11" w:rsidRDefault="00C33F2C" w:rsidP="009F5882">
      <w:pPr>
        <w:pStyle w:val="Prrafodelista"/>
        <w:numPr>
          <w:ilvl w:val="0"/>
          <w:numId w:val="3"/>
        </w:numPr>
      </w:pPr>
      <w:r w:rsidRPr="00A16D11">
        <w:t xml:space="preserve">Tabla 20, </w:t>
      </w:r>
      <w:r w:rsidR="00CF6019" w:rsidRPr="00A16D11">
        <w:t>página</w:t>
      </w:r>
      <w:r w:rsidRPr="00A16D11">
        <w:t xml:space="preserve"> 52, se </w:t>
      </w:r>
      <w:r w:rsidR="000C28A3" w:rsidRPr="00A16D11">
        <w:t>corrige</w:t>
      </w:r>
      <w:r w:rsidRPr="00A16D11">
        <w:t xml:space="preserve"> columnas Emisiones Biomasa Viva, Emisiones necromasa y Emisiones totales:</w:t>
      </w:r>
    </w:p>
    <w:tbl>
      <w:tblPr>
        <w:tblStyle w:val="Cuadrculamedia3-nfasis62"/>
        <w:tblW w:w="0" w:type="auto"/>
        <w:jc w:val="center"/>
        <w:tblLook w:val="04A0" w:firstRow="1" w:lastRow="0" w:firstColumn="1" w:lastColumn="0" w:noHBand="0" w:noVBand="1"/>
      </w:tblPr>
      <w:tblGrid>
        <w:gridCol w:w="1175"/>
        <w:gridCol w:w="1545"/>
        <w:gridCol w:w="1984"/>
        <w:gridCol w:w="1843"/>
        <w:gridCol w:w="1843"/>
      </w:tblGrid>
      <w:tr w:rsidR="00C33F2C" w:rsidRPr="00CF6019" w14:paraId="6E202772" w14:textId="77777777" w:rsidTr="00CF6019">
        <w:trPr>
          <w:cnfStyle w:val="100000000000" w:firstRow="1" w:lastRow="0" w:firstColumn="0" w:lastColumn="0" w:oddVBand="0" w:evenVBand="0" w:oddHBand="0"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20276D" w14:textId="77777777" w:rsidR="00C33F2C" w:rsidRPr="00C33F2C" w:rsidRDefault="00C33F2C" w:rsidP="00C33F2C">
            <w:pPr>
              <w:jc w:val="center"/>
              <w:rPr>
                <w:rFonts w:eastAsia="Times New Roman" w:cs="Calibri Light"/>
                <w:color w:val="auto"/>
                <w:sz w:val="18"/>
              </w:rPr>
            </w:pPr>
            <w:r w:rsidRPr="00C33F2C">
              <w:rPr>
                <w:rFonts w:eastAsia="Times New Roman" w:cs="Calibri Light"/>
                <w:color w:val="auto"/>
                <w:sz w:val="18"/>
              </w:rPr>
              <w:t>Región</w:t>
            </w:r>
          </w:p>
        </w:tc>
        <w:tc>
          <w:tcPr>
            <w:tcW w:w="1545" w:type="dxa"/>
            <w:vAlign w:val="center"/>
            <w:hideMark/>
          </w:tcPr>
          <w:p w14:paraId="6E20276E" w14:textId="77777777" w:rsidR="00C33F2C" w:rsidRPr="00C33F2C" w:rsidRDefault="00C33F2C" w:rsidP="00C33F2C">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rPr>
            </w:pPr>
            <w:r w:rsidRPr="00C33F2C">
              <w:rPr>
                <w:rFonts w:eastAsia="Times New Roman" w:cs="Calibri Light"/>
                <w:color w:val="auto"/>
                <w:sz w:val="18"/>
              </w:rPr>
              <w:t>Área degradada (ha año</w:t>
            </w:r>
            <w:r w:rsidRPr="00C33F2C">
              <w:rPr>
                <w:rFonts w:eastAsia="Times New Roman" w:cs="Calibri Light"/>
                <w:color w:val="auto"/>
                <w:sz w:val="18"/>
                <w:vertAlign w:val="superscript"/>
              </w:rPr>
              <w:t>-1</w:t>
            </w:r>
            <w:r w:rsidRPr="00C33F2C">
              <w:rPr>
                <w:rFonts w:eastAsia="Times New Roman" w:cs="Calibri Light"/>
                <w:color w:val="auto"/>
                <w:sz w:val="18"/>
              </w:rPr>
              <w:t>)</w:t>
            </w:r>
          </w:p>
        </w:tc>
        <w:tc>
          <w:tcPr>
            <w:tcW w:w="1984" w:type="dxa"/>
            <w:vAlign w:val="center"/>
            <w:hideMark/>
          </w:tcPr>
          <w:p w14:paraId="6E20276F" w14:textId="77777777" w:rsidR="00C33F2C" w:rsidRPr="00C33F2C" w:rsidRDefault="00C33F2C" w:rsidP="00C33F2C">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lang w:val="es-CL"/>
              </w:rPr>
            </w:pPr>
            <w:r w:rsidRPr="00C33F2C">
              <w:rPr>
                <w:rFonts w:eastAsia="Times New Roman" w:cs="Calibri Light"/>
                <w:color w:val="auto"/>
                <w:sz w:val="18"/>
                <w:lang w:val="es-CL"/>
              </w:rPr>
              <w:t>Emisiones biomasa viva (tCO</w:t>
            </w:r>
            <w:r w:rsidRPr="00C33F2C">
              <w:rPr>
                <w:rFonts w:eastAsia="Times New Roman" w:cs="Calibri Light"/>
                <w:color w:val="auto"/>
                <w:sz w:val="18"/>
                <w:vertAlign w:val="subscript"/>
                <w:lang w:val="es-CL"/>
              </w:rPr>
              <w:t>2</w:t>
            </w:r>
            <w:r w:rsidRPr="00C33F2C">
              <w:rPr>
                <w:rFonts w:eastAsia="Times New Roman" w:cs="Calibri Light"/>
                <w:color w:val="auto"/>
                <w:sz w:val="18"/>
                <w:lang w:val="es-CL"/>
              </w:rPr>
              <w:t>e año</w:t>
            </w:r>
            <w:r w:rsidRPr="00C33F2C">
              <w:rPr>
                <w:rFonts w:eastAsia="Times New Roman" w:cs="Calibri Light"/>
                <w:color w:val="auto"/>
                <w:sz w:val="18"/>
                <w:vertAlign w:val="superscript"/>
                <w:lang w:val="es-CL"/>
              </w:rPr>
              <w:t>-1</w:t>
            </w:r>
            <w:r w:rsidRPr="00C33F2C">
              <w:rPr>
                <w:rFonts w:eastAsia="Times New Roman" w:cs="Calibri Light"/>
                <w:color w:val="auto"/>
                <w:sz w:val="18"/>
                <w:lang w:val="es-CL"/>
              </w:rPr>
              <w:t>)</w:t>
            </w:r>
          </w:p>
        </w:tc>
        <w:tc>
          <w:tcPr>
            <w:tcW w:w="1843" w:type="dxa"/>
            <w:vAlign w:val="center"/>
            <w:hideMark/>
          </w:tcPr>
          <w:p w14:paraId="6E202770" w14:textId="77777777" w:rsidR="00C33F2C" w:rsidRPr="00C33F2C" w:rsidRDefault="00C33F2C" w:rsidP="00C33F2C">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rPr>
            </w:pPr>
            <w:r w:rsidRPr="00C33F2C">
              <w:rPr>
                <w:rFonts w:eastAsia="Times New Roman" w:cs="Calibri Light"/>
                <w:color w:val="auto"/>
                <w:sz w:val="18"/>
              </w:rPr>
              <w:t>Emisiones necromasa (tCO</w:t>
            </w:r>
            <w:r w:rsidRPr="00C33F2C">
              <w:rPr>
                <w:rFonts w:eastAsia="Times New Roman" w:cs="Calibri Light"/>
                <w:color w:val="auto"/>
                <w:sz w:val="18"/>
                <w:vertAlign w:val="subscript"/>
              </w:rPr>
              <w:t>2</w:t>
            </w:r>
            <w:r w:rsidRPr="00C33F2C">
              <w:rPr>
                <w:rFonts w:eastAsia="Times New Roman" w:cs="Calibri Light"/>
                <w:color w:val="auto"/>
                <w:sz w:val="18"/>
              </w:rPr>
              <w:t>e año</w:t>
            </w:r>
            <w:r w:rsidRPr="00C33F2C">
              <w:rPr>
                <w:rFonts w:eastAsia="Times New Roman" w:cs="Calibri Light"/>
                <w:color w:val="auto"/>
                <w:sz w:val="18"/>
                <w:vertAlign w:val="superscript"/>
              </w:rPr>
              <w:t>-1</w:t>
            </w:r>
            <w:r w:rsidRPr="00C33F2C">
              <w:rPr>
                <w:rFonts w:eastAsia="Times New Roman" w:cs="Calibri Light"/>
                <w:color w:val="auto"/>
                <w:sz w:val="18"/>
              </w:rPr>
              <w:t>)</w:t>
            </w:r>
          </w:p>
        </w:tc>
        <w:tc>
          <w:tcPr>
            <w:tcW w:w="1843" w:type="dxa"/>
            <w:vAlign w:val="center"/>
            <w:hideMark/>
          </w:tcPr>
          <w:p w14:paraId="6E202771" w14:textId="77777777" w:rsidR="00C33F2C" w:rsidRPr="00C33F2C" w:rsidRDefault="00C33F2C" w:rsidP="00C33F2C">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rPr>
            </w:pPr>
            <w:r w:rsidRPr="00C33F2C">
              <w:rPr>
                <w:rFonts w:eastAsia="Times New Roman" w:cs="Calibri Light"/>
                <w:color w:val="auto"/>
                <w:sz w:val="18"/>
              </w:rPr>
              <w:t>Emisiones totales (tCO</w:t>
            </w:r>
            <w:r w:rsidRPr="00C33F2C">
              <w:rPr>
                <w:rFonts w:eastAsia="Times New Roman" w:cs="Calibri Light"/>
                <w:color w:val="auto"/>
                <w:sz w:val="18"/>
                <w:vertAlign w:val="subscript"/>
              </w:rPr>
              <w:t>2</w:t>
            </w:r>
            <w:r w:rsidRPr="00C33F2C">
              <w:rPr>
                <w:rFonts w:eastAsia="Times New Roman" w:cs="Calibri Light"/>
                <w:color w:val="auto"/>
                <w:sz w:val="18"/>
              </w:rPr>
              <w:t>e año</w:t>
            </w:r>
            <w:r w:rsidRPr="00C33F2C">
              <w:rPr>
                <w:rFonts w:eastAsia="Times New Roman" w:cs="Calibri Light"/>
                <w:color w:val="auto"/>
                <w:sz w:val="18"/>
                <w:vertAlign w:val="superscript"/>
              </w:rPr>
              <w:t>-1</w:t>
            </w:r>
            <w:r w:rsidRPr="00C33F2C">
              <w:rPr>
                <w:rFonts w:eastAsia="Times New Roman" w:cs="Calibri Light"/>
                <w:color w:val="auto"/>
                <w:sz w:val="18"/>
              </w:rPr>
              <w:t>)</w:t>
            </w:r>
          </w:p>
        </w:tc>
      </w:tr>
      <w:tr w:rsidR="009F5882" w:rsidRPr="00CF6019" w14:paraId="6E202778" w14:textId="77777777" w:rsidTr="00CF6019">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73" w14:textId="77777777" w:rsidR="009F5882" w:rsidRPr="00C33F2C" w:rsidRDefault="009F5882" w:rsidP="009B4F04">
            <w:pPr>
              <w:jc w:val="both"/>
              <w:rPr>
                <w:rFonts w:eastAsia="Times New Roman" w:cs="Calibri Light"/>
                <w:color w:val="auto"/>
                <w:sz w:val="18"/>
              </w:rPr>
            </w:pPr>
            <w:r w:rsidRPr="00C33F2C">
              <w:rPr>
                <w:rFonts w:eastAsia="Times New Roman" w:cs="Calibri Light"/>
                <w:color w:val="auto"/>
                <w:sz w:val="18"/>
              </w:rPr>
              <w:t>Maule</w:t>
            </w:r>
          </w:p>
        </w:tc>
        <w:tc>
          <w:tcPr>
            <w:tcW w:w="1545" w:type="dxa"/>
            <w:vAlign w:val="center"/>
          </w:tcPr>
          <w:p w14:paraId="6E202774"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53</w:t>
            </w:r>
          </w:p>
        </w:tc>
        <w:tc>
          <w:tcPr>
            <w:tcW w:w="1984" w:type="dxa"/>
            <w:vAlign w:val="center"/>
          </w:tcPr>
          <w:p w14:paraId="6E202775"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5.051</w:t>
            </w:r>
          </w:p>
        </w:tc>
        <w:tc>
          <w:tcPr>
            <w:tcW w:w="1843" w:type="dxa"/>
            <w:vAlign w:val="center"/>
          </w:tcPr>
          <w:p w14:paraId="6E202776"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225</w:t>
            </w:r>
          </w:p>
        </w:tc>
        <w:tc>
          <w:tcPr>
            <w:tcW w:w="1843" w:type="dxa"/>
            <w:vAlign w:val="center"/>
          </w:tcPr>
          <w:p w14:paraId="6E202777"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5.276</w:t>
            </w:r>
          </w:p>
        </w:tc>
      </w:tr>
      <w:tr w:rsidR="009F5882" w:rsidRPr="00CF6019" w14:paraId="6E20277E" w14:textId="77777777" w:rsidTr="00CF6019">
        <w:trPr>
          <w:trHeight w:val="33"/>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79" w14:textId="77777777" w:rsidR="009F5882" w:rsidRPr="00C33F2C" w:rsidRDefault="009F5882" w:rsidP="009B4F04">
            <w:pPr>
              <w:jc w:val="both"/>
              <w:rPr>
                <w:rFonts w:eastAsia="Times New Roman" w:cs="Calibri Light"/>
                <w:color w:val="auto"/>
                <w:sz w:val="18"/>
              </w:rPr>
            </w:pPr>
            <w:r w:rsidRPr="00C33F2C">
              <w:rPr>
                <w:rFonts w:eastAsia="Times New Roman" w:cs="Calibri Light"/>
                <w:color w:val="auto"/>
                <w:sz w:val="18"/>
              </w:rPr>
              <w:t>Biobío</w:t>
            </w:r>
          </w:p>
        </w:tc>
        <w:tc>
          <w:tcPr>
            <w:tcW w:w="1545" w:type="dxa"/>
            <w:vAlign w:val="center"/>
          </w:tcPr>
          <w:p w14:paraId="6E20277A"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C33F2C">
              <w:rPr>
                <w:rFonts w:eastAsia="Calibri" w:cs="Times New Roman"/>
                <w:sz w:val="18"/>
              </w:rPr>
              <w:t>605</w:t>
            </w:r>
          </w:p>
        </w:tc>
        <w:tc>
          <w:tcPr>
            <w:tcW w:w="1984" w:type="dxa"/>
            <w:vAlign w:val="center"/>
          </w:tcPr>
          <w:p w14:paraId="6E20277B"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C33F2C">
              <w:rPr>
                <w:rFonts w:eastAsia="Calibri" w:cs="Times New Roman"/>
                <w:sz w:val="18"/>
              </w:rPr>
              <w:t>71.255</w:t>
            </w:r>
          </w:p>
        </w:tc>
        <w:tc>
          <w:tcPr>
            <w:tcW w:w="1843" w:type="dxa"/>
            <w:vAlign w:val="center"/>
          </w:tcPr>
          <w:p w14:paraId="6E20277C"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C33F2C">
              <w:rPr>
                <w:rFonts w:eastAsia="Calibri" w:cs="Times New Roman"/>
                <w:sz w:val="18"/>
              </w:rPr>
              <w:t>3.694</w:t>
            </w:r>
          </w:p>
        </w:tc>
        <w:tc>
          <w:tcPr>
            <w:tcW w:w="1843" w:type="dxa"/>
            <w:vAlign w:val="center"/>
          </w:tcPr>
          <w:p w14:paraId="6E20277D"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C33F2C">
              <w:rPr>
                <w:rFonts w:eastAsia="Calibri" w:cs="Times New Roman"/>
                <w:sz w:val="18"/>
              </w:rPr>
              <w:t>74.949</w:t>
            </w:r>
          </w:p>
        </w:tc>
      </w:tr>
      <w:tr w:rsidR="009F5882" w:rsidRPr="00CF6019" w14:paraId="6E202784" w14:textId="77777777" w:rsidTr="00CF6019">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7F" w14:textId="77777777" w:rsidR="009F5882" w:rsidRPr="00C33F2C" w:rsidRDefault="009F5882" w:rsidP="009B4F04">
            <w:pPr>
              <w:jc w:val="both"/>
              <w:rPr>
                <w:rFonts w:eastAsia="Times New Roman" w:cs="Calibri Light"/>
                <w:color w:val="auto"/>
                <w:sz w:val="18"/>
              </w:rPr>
            </w:pPr>
            <w:r w:rsidRPr="00C33F2C">
              <w:rPr>
                <w:rFonts w:eastAsia="Times New Roman" w:cs="Calibri Light"/>
                <w:color w:val="auto"/>
                <w:sz w:val="18"/>
              </w:rPr>
              <w:t>La Araucanía</w:t>
            </w:r>
          </w:p>
        </w:tc>
        <w:tc>
          <w:tcPr>
            <w:tcW w:w="1545" w:type="dxa"/>
            <w:vAlign w:val="center"/>
          </w:tcPr>
          <w:p w14:paraId="6E202780"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484</w:t>
            </w:r>
          </w:p>
        </w:tc>
        <w:tc>
          <w:tcPr>
            <w:tcW w:w="1984" w:type="dxa"/>
            <w:vAlign w:val="center"/>
          </w:tcPr>
          <w:p w14:paraId="6E202781"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96.056</w:t>
            </w:r>
          </w:p>
        </w:tc>
        <w:tc>
          <w:tcPr>
            <w:tcW w:w="1843" w:type="dxa"/>
            <w:vAlign w:val="center"/>
          </w:tcPr>
          <w:p w14:paraId="6E202782"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13.881</w:t>
            </w:r>
          </w:p>
        </w:tc>
        <w:tc>
          <w:tcPr>
            <w:tcW w:w="1843" w:type="dxa"/>
            <w:vAlign w:val="center"/>
          </w:tcPr>
          <w:p w14:paraId="6E202783"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109.937</w:t>
            </w:r>
          </w:p>
        </w:tc>
      </w:tr>
      <w:tr w:rsidR="009F5882" w:rsidRPr="00CF6019" w14:paraId="6E20278A" w14:textId="77777777" w:rsidTr="00CF6019">
        <w:trPr>
          <w:trHeight w:val="33"/>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85" w14:textId="77777777" w:rsidR="009F5882" w:rsidRPr="00C33F2C" w:rsidRDefault="009F5882" w:rsidP="009B4F04">
            <w:pPr>
              <w:jc w:val="both"/>
              <w:rPr>
                <w:rFonts w:eastAsia="Times New Roman" w:cs="Calibri Light"/>
                <w:color w:val="auto"/>
                <w:sz w:val="18"/>
              </w:rPr>
            </w:pPr>
            <w:r w:rsidRPr="00C33F2C">
              <w:rPr>
                <w:rFonts w:eastAsia="Times New Roman" w:cs="Calibri Light"/>
                <w:color w:val="auto"/>
                <w:sz w:val="18"/>
              </w:rPr>
              <w:t>Los Ríos</w:t>
            </w:r>
          </w:p>
        </w:tc>
        <w:tc>
          <w:tcPr>
            <w:tcW w:w="1545" w:type="dxa"/>
            <w:vAlign w:val="center"/>
          </w:tcPr>
          <w:p w14:paraId="6E202786"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C33F2C">
              <w:rPr>
                <w:rFonts w:eastAsia="Calibri" w:cs="Times New Roman"/>
                <w:sz w:val="18"/>
              </w:rPr>
              <w:t>84</w:t>
            </w:r>
          </w:p>
        </w:tc>
        <w:tc>
          <w:tcPr>
            <w:tcW w:w="1984" w:type="dxa"/>
            <w:vAlign w:val="center"/>
          </w:tcPr>
          <w:p w14:paraId="6E202787"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C33F2C">
              <w:rPr>
                <w:rFonts w:eastAsia="Calibri" w:cs="Times New Roman"/>
                <w:sz w:val="18"/>
              </w:rPr>
              <w:t>20.578</w:t>
            </w:r>
          </w:p>
        </w:tc>
        <w:tc>
          <w:tcPr>
            <w:tcW w:w="1843" w:type="dxa"/>
            <w:vAlign w:val="center"/>
          </w:tcPr>
          <w:p w14:paraId="6E202788"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C33F2C">
              <w:rPr>
                <w:rFonts w:eastAsia="Calibri" w:cs="Times New Roman"/>
                <w:sz w:val="18"/>
              </w:rPr>
              <w:t>6.049</w:t>
            </w:r>
          </w:p>
        </w:tc>
        <w:tc>
          <w:tcPr>
            <w:tcW w:w="1843" w:type="dxa"/>
            <w:vAlign w:val="center"/>
          </w:tcPr>
          <w:p w14:paraId="6E202789"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C33F2C">
              <w:rPr>
                <w:rFonts w:eastAsia="Calibri" w:cs="Times New Roman"/>
                <w:sz w:val="18"/>
              </w:rPr>
              <w:t>26.627</w:t>
            </w:r>
          </w:p>
        </w:tc>
      </w:tr>
      <w:tr w:rsidR="009F5882" w:rsidRPr="00CF6019" w14:paraId="6E202790" w14:textId="77777777" w:rsidTr="00CF6019">
        <w:trPr>
          <w:cnfStyle w:val="000000100000" w:firstRow="0" w:lastRow="0" w:firstColumn="0" w:lastColumn="0" w:oddVBand="0" w:evenVBand="0" w:oddHBand="1" w:evenHBand="0" w:firstRowFirstColumn="0" w:firstRowLastColumn="0" w:lastRowFirstColumn="0" w:lastRowLastColumn="0"/>
          <w:trHeight w:val="33"/>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8B" w14:textId="77777777" w:rsidR="009F5882" w:rsidRPr="00C33F2C" w:rsidRDefault="009F5882" w:rsidP="009B4F04">
            <w:pPr>
              <w:jc w:val="both"/>
              <w:rPr>
                <w:rFonts w:eastAsia="Times New Roman" w:cs="Calibri Light"/>
                <w:color w:val="auto"/>
                <w:sz w:val="18"/>
              </w:rPr>
            </w:pPr>
            <w:r w:rsidRPr="00C33F2C">
              <w:rPr>
                <w:rFonts w:eastAsia="Times New Roman" w:cs="Calibri Light"/>
                <w:color w:val="auto"/>
                <w:sz w:val="18"/>
              </w:rPr>
              <w:t xml:space="preserve">Los Lagos </w:t>
            </w:r>
          </w:p>
        </w:tc>
        <w:tc>
          <w:tcPr>
            <w:tcW w:w="1545" w:type="dxa"/>
            <w:vAlign w:val="center"/>
          </w:tcPr>
          <w:p w14:paraId="6E20278C"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3</w:t>
            </w:r>
          </w:p>
        </w:tc>
        <w:tc>
          <w:tcPr>
            <w:tcW w:w="1984" w:type="dxa"/>
            <w:vAlign w:val="center"/>
          </w:tcPr>
          <w:p w14:paraId="6E20278D"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624</w:t>
            </w:r>
          </w:p>
        </w:tc>
        <w:tc>
          <w:tcPr>
            <w:tcW w:w="1843" w:type="dxa"/>
            <w:vAlign w:val="center"/>
          </w:tcPr>
          <w:p w14:paraId="6E20278E"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146</w:t>
            </w:r>
          </w:p>
        </w:tc>
        <w:tc>
          <w:tcPr>
            <w:tcW w:w="1843" w:type="dxa"/>
            <w:vAlign w:val="center"/>
          </w:tcPr>
          <w:p w14:paraId="6E20278F" w14:textId="77777777" w:rsidR="009F5882" w:rsidRPr="00C33F2C" w:rsidRDefault="009F5882" w:rsidP="009B4F04">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C33F2C">
              <w:rPr>
                <w:rFonts w:eastAsia="Calibri" w:cs="Times New Roman"/>
                <w:sz w:val="18"/>
              </w:rPr>
              <w:t>770</w:t>
            </w:r>
          </w:p>
        </w:tc>
      </w:tr>
      <w:tr w:rsidR="009F5882" w:rsidRPr="00CF6019" w14:paraId="6E202796" w14:textId="77777777" w:rsidTr="00CF6019">
        <w:trPr>
          <w:trHeight w:val="33"/>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91" w14:textId="77777777" w:rsidR="009F5882" w:rsidRPr="00C33F2C" w:rsidRDefault="009F5882" w:rsidP="009B4F04">
            <w:pPr>
              <w:jc w:val="both"/>
              <w:rPr>
                <w:rFonts w:eastAsia="Times New Roman" w:cs="Calibri Light"/>
                <w:color w:val="auto"/>
                <w:sz w:val="18"/>
              </w:rPr>
            </w:pPr>
            <w:r w:rsidRPr="00C33F2C">
              <w:rPr>
                <w:rFonts w:eastAsia="Times New Roman" w:cs="Calibri Light"/>
                <w:color w:val="auto"/>
                <w:sz w:val="18"/>
              </w:rPr>
              <w:t>Total</w:t>
            </w:r>
          </w:p>
        </w:tc>
        <w:tc>
          <w:tcPr>
            <w:tcW w:w="1545" w:type="dxa"/>
            <w:vAlign w:val="center"/>
          </w:tcPr>
          <w:p w14:paraId="6E202792"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bCs/>
                <w:sz w:val="18"/>
              </w:rPr>
            </w:pPr>
            <w:r w:rsidRPr="00C33F2C">
              <w:rPr>
                <w:rFonts w:eastAsia="Calibri" w:cs="Times New Roman"/>
                <w:sz w:val="18"/>
              </w:rPr>
              <w:t>1.230</w:t>
            </w:r>
          </w:p>
        </w:tc>
        <w:tc>
          <w:tcPr>
            <w:tcW w:w="1984" w:type="dxa"/>
            <w:vAlign w:val="center"/>
          </w:tcPr>
          <w:p w14:paraId="6E202793"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bCs/>
                <w:sz w:val="18"/>
              </w:rPr>
            </w:pPr>
            <w:r w:rsidRPr="00C33F2C">
              <w:rPr>
                <w:rFonts w:eastAsia="Calibri" w:cs="Times New Roman"/>
                <w:sz w:val="18"/>
              </w:rPr>
              <w:t>193.563</w:t>
            </w:r>
          </w:p>
        </w:tc>
        <w:tc>
          <w:tcPr>
            <w:tcW w:w="1843" w:type="dxa"/>
            <w:vAlign w:val="center"/>
          </w:tcPr>
          <w:p w14:paraId="6E202794"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bCs/>
                <w:sz w:val="18"/>
              </w:rPr>
            </w:pPr>
            <w:r w:rsidRPr="00C33F2C">
              <w:rPr>
                <w:rFonts w:eastAsia="Calibri" w:cs="Times New Roman"/>
                <w:sz w:val="18"/>
              </w:rPr>
              <w:t>23.995</w:t>
            </w:r>
          </w:p>
        </w:tc>
        <w:tc>
          <w:tcPr>
            <w:tcW w:w="1843" w:type="dxa"/>
            <w:vAlign w:val="center"/>
          </w:tcPr>
          <w:p w14:paraId="6E202795" w14:textId="77777777" w:rsidR="009F5882" w:rsidRPr="00C33F2C" w:rsidRDefault="009F5882" w:rsidP="009B4F04">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b/>
                <w:bCs/>
                <w:sz w:val="18"/>
              </w:rPr>
            </w:pPr>
            <w:r w:rsidRPr="00C33F2C">
              <w:rPr>
                <w:rFonts w:eastAsia="Calibri" w:cs="Times New Roman"/>
                <w:sz w:val="18"/>
              </w:rPr>
              <w:t>217.558</w:t>
            </w:r>
          </w:p>
        </w:tc>
      </w:tr>
    </w:tbl>
    <w:p w14:paraId="6E202797" w14:textId="77777777" w:rsidR="00C33F2C" w:rsidRPr="00A16D11" w:rsidRDefault="00C33F2C" w:rsidP="004F256F">
      <w:pPr>
        <w:jc w:val="both"/>
      </w:pPr>
    </w:p>
    <w:p w14:paraId="6E202798" w14:textId="77777777" w:rsidR="000C28A3" w:rsidRPr="00A16D11" w:rsidRDefault="000C28A3" w:rsidP="009F5882">
      <w:pPr>
        <w:pStyle w:val="Prrafodelista"/>
        <w:numPr>
          <w:ilvl w:val="0"/>
          <w:numId w:val="3"/>
        </w:numPr>
      </w:pPr>
      <w:r w:rsidRPr="00A16D11">
        <w:t>Tabla 21, página 52, se corrige información de todas las columnas</w:t>
      </w:r>
    </w:p>
    <w:tbl>
      <w:tblPr>
        <w:tblStyle w:val="Cuadrculamedia3-nfasis63"/>
        <w:tblW w:w="0" w:type="auto"/>
        <w:jc w:val="center"/>
        <w:tblLook w:val="04A0" w:firstRow="1" w:lastRow="0" w:firstColumn="1" w:lastColumn="0" w:noHBand="0" w:noVBand="1"/>
      </w:tblPr>
      <w:tblGrid>
        <w:gridCol w:w="1175"/>
        <w:gridCol w:w="1406"/>
        <w:gridCol w:w="1424"/>
        <w:gridCol w:w="1266"/>
        <w:gridCol w:w="1180"/>
      </w:tblGrid>
      <w:tr w:rsidR="000C28A3" w:rsidRPr="00CF6019" w14:paraId="6E2027A2" w14:textId="77777777" w:rsidTr="009B4F04">
        <w:trPr>
          <w:cnfStyle w:val="100000000000" w:firstRow="1" w:lastRow="0" w:firstColumn="0" w:lastColumn="0" w:oddVBand="0" w:evenVBand="0" w:oddHBand="0"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E202799" w14:textId="77777777" w:rsidR="000C28A3" w:rsidRPr="000C28A3" w:rsidRDefault="00A16D11" w:rsidP="00CF6019">
            <w:pPr>
              <w:jc w:val="center"/>
              <w:rPr>
                <w:rFonts w:eastAsia="Times New Roman" w:cs="Calibri Light"/>
                <w:color w:val="auto"/>
                <w:sz w:val="18"/>
              </w:rPr>
            </w:pPr>
            <w:r w:rsidRPr="00CF6019">
              <w:rPr>
                <w:rFonts w:eastAsia="Times New Roman" w:cs="Calibri Light"/>
                <w:color w:val="auto"/>
                <w:sz w:val="18"/>
              </w:rPr>
              <w:t>R</w:t>
            </w:r>
            <w:r w:rsidR="000C28A3" w:rsidRPr="000C28A3">
              <w:rPr>
                <w:rFonts w:eastAsia="Times New Roman" w:cs="Calibri Light"/>
                <w:color w:val="auto"/>
                <w:sz w:val="18"/>
              </w:rPr>
              <w:t>egión</w:t>
            </w:r>
          </w:p>
        </w:tc>
        <w:tc>
          <w:tcPr>
            <w:tcW w:w="0" w:type="auto"/>
            <w:vAlign w:val="center"/>
            <w:hideMark/>
          </w:tcPr>
          <w:p w14:paraId="6E20279A" w14:textId="77777777" w:rsidR="000C28A3" w:rsidRPr="000C28A3" w:rsidRDefault="000C28A3" w:rsidP="00CF601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rPr>
            </w:pPr>
            <w:r w:rsidRPr="000C28A3">
              <w:rPr>
                <w:rFonts w:eastAsia="Times New Roman" w:cs="Calibri Light"/>
                <w:color w:val="auto"/>
                <w:sz w:val="18"/>
              </w:rPr>
              <w:t xml:space="preserve">Área degradada </w:t>
            </w:r>
          </w:p>
          <w:p w14:paraId="6E20279B" w14:textId="77777777" w:rsidR="000C28A3" w:rsidRPr="000C28A3" w:rsidRDefault="000C28A3" w:rsidP="00CF601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rPr>
            </w:pPr>
            <w:r w:rsidRPr="000C28A3">
              <w:rPr>
                <w:rFonts w:eastAsia="Times New Roman" w:cs="Calibri Light"/>
                <w:color w:val="auto"/>
                <w:sz w:val="18"/>
              </w:rPr>
              <w:t>(ha año</w:t>
            </w:r>
            <w:r w:rsidRPr="000C28A3">
              <w:rPr>
                <w:rFonts w:eastAsia="Times New Roman" w:cs="Calibri Light"/>
                <w:color w:val="auto"/>
                <w:sz w:val="18"/>
                <w:vertAlign w:val="superscript"/>
              </w:rPr>
              <w:t>-1</w:t>
            </w:r>
            <w:r w:rsidRPr="000C28A3">
              <w:rPr>
                <w:rFonts w:eastAsia="Times New Roman" w:cs="Calibri Light"/>
                <w:color w:val="auto"/>
                <w:sz w:val="18"/>
              </w:rPr>
              <w:t>)</w:t>
            </w:r>
          </w:p>
        </w:tc>
        <w:tc>
          <w:tcPr>
            <w:tcW w:w="0" w:type="auto"/>
            <w:vAlign w:val="center"/>
            <w:hideMark/>
          </w:tcPr>
          <w:p w14:paraId="6E20279C" w14:textId="77777777" w:rsidR="000C28A3" w:rsidRPr="000C28A3" w:rsidRDefault="000C28A3" w:rsidP="00CF601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lang w:val="es-CL"/>
              </w:rPr>
            </w:pPr>
            <w:r w:rsidRPr="000C28A3">
              <w:rPr>
                <w:rFonts w:eastAsia="Times New Roman" w:cs="Calibri Light"/>
                <w:color w:val="auto"/>
                <w:sz w:val="18"/>
                <w:lang w:val="es-CL"/>
              </w:rPr>
              <w:t xml:space="preserve">ER biomasa viva </w:t>
            </w:r>
          </w:p>
          <w:p w14:paraId="6E20279D" w14:textId="77777777" w:rsidR="000C28A3" w:rsidRPr="000C28A3" w:rsidRDefault="000C28A3" w:rsidP="00CF601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lang w:val="es-CL"/>
              </w:rPr>
            </w:pPr>
            <w:r w:rsidRPr="000C28A3">
              <w:rPr>
                <w:rFonts w:eastAsia="Times New Roman" w:cs="Calibri Light"/>
                <w:color w:val="auto"/>
                <w:sz w:val="18"/>
                <w:lang w:val="es-CL"/>
              </w:rPr>
              <w:t>(tCO</w:t>
            </w:r>
            <w:r w:rsidRPr="000C28A3">
              <w:rPr>
                <w:rFonts w:eastAsia="Times New Roman" w:cs="Calibri Light"/>
                <w:color w:val="auto"/>
                <w:sz w:val="18"/>
                <w:vertAlign w:val="subscript"/>
                <w:lang w:val="es-CL"/>
              </w:rPr>
              <w:t>2</w:t>
            </w:r>
            <w:r w:rsidRPr="000C28A3">
              <w:rPr>
                <w:rFonts w:eastAsia="Times New Roman" w:cs="Calibri Light"/>
                <w:color w:val="auto"/>
                <w:sz w:val="18"/>
                <w:lang w:val="es-CL"/>
              </w:rPr>
              <w:t>e año</w:t>
            </w:r>
            <w:r w:rsidRPr="000C28A3">
              <w:rPr>
                <w:rFonts w:eastAsia="Times New Roman" w:cs="Calibri Light"/>
                <w:color w:val="auto"/>
                <w:sz w:val="18"/>
                <w:vertAlign w:val="superscript"/>
                <w:lang w:val="es-CL"/>
              </w:rPr>
              <w:t>-1</w:t>
            </w:r>
            <w:r w:rsidRPr="000C28A3">
              <w:rPr>
                <w:rFonts w:eastAsia="Times New Roman" w:cs="Calibri Light"/>
                <w:color w:val="auto"/>
                <w:sz w:val="18"/>
                <w:lang w:val="es-CL"/>
              </w:rPr>
              <w:t>)</w:t>
            </w:r>
          </w:p>
        </w:tc>
        <w:tc>
          <w:tcPr>
            <w:tcW w:w="0" w:type="auto"/>
            <w:vAlign w:val="center"/>
            <w:hideMark/>
          </w:tcPr>
          <w:p w14:paraId="6E20279E" w14:textId="77777777" w:rsidR="000C28A3" w:rsidRPr="000C28A3" w:rsidRDefault="000C28A3" w:rsidP="00CF601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rPr>
            </w:pPr>
            <w:r w:rsidRPr="000C28A3">
              <w:rPr>
                <w:rFonts w:eastAsia="Times New Roman" w:cs="Calibri Light"/>
                <w:color w:val="auto"/>
                <w:sz w:val="18"/>
              </w:rPr>
              <w:t xml:space="preserve">ER necromasa </w:t>
            </w:r>
          </w:p>
          <w:p w14:paraId="6E20279F" w14:textId="77777777" w:rsidR="000C28A3" w:rsidRPr="000C28A3" w:rsidRDefault="000C28A3" w:rsidP="00CF601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rPr>
            </w:pPr>
            <w:r w:rsidRPr="000C28A3">
              <w:rPr>
                <w:rFonts w:eastAsia="Times New Roman" w:cs="Calibri Light"/>
                <w:color w:val="auto"/>
                <w:sz w:val="18"/>
              </w:rPr>
              <w:t>(tCO</w:t>
            </w:r>
            <w:r w:rsidRPr="000C28A3">
              <w:rPr>
                <w:rFonts w:eastAsia="Times New Roman" w:cs="Calibri Light"/>
                <w:color w:val="auto"/>
                <w:sz w:val="18"/>
                <w:vertAlign w:val="subscript"/>
              </w:rPr>
              <w:t>2</w:t>
            </w:r>
            <w:r w:rsidRPr="000C28A3">
              <w:rPr>
                <w:rFonts w:eastAsia="Times New Roman" w:cs="Calibri Light"/>
                <w:color w:val="auto"/>
                <w:sz w:val="18"/>
              </w:rPr>
              <w:t>e año</w:t>
            </w:r>
            <w:r w:rsidRPr="000C28A3">
              <w:rPr>
                <w:rFonts w:eastAsia="Times New Roman" w:cs="Calibri Light"/>
                <w:color w:val="auto"/>
                <w:sz w:val="18"/>
                <w:vertAlign w:val="superscript"/>
              </w:rPr>
              <w:t>-1</w:t>
            </w:r>
            <w:r w:rsidRPr="000C28A3">
              <w:rPr>
                <w:rFonts w:eastAsia="Times New Roman" w:cs="Calibri Light"/>
                <w:color w:val="auto"/>
                <w:sz w:val="18"/>
              </w:rPr>
              <w:t>)</w:t>
            </w:r>
          </w:p>
        </w:tc>
        <w:tc>
          <w:tcPr>
            <w:tcW w:w="0" w:type="auto"/>
            <w:vAlign w:val="center"/>
            <w:hideMark/>
          </w:tcPr>
          <w:p w14:paraId="6E2027A0" w14:textId="77777777" w:rsidR="000C28A3" w:rsidRPr="000C28A3" w:rsidRDefault="000C28A3" w:rsidP="00CF601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rPr>
            </w:pPr>
            <w:r w:rsidRPr="000C28A3">
              <w:rPr>
                <w:rFonts w:eastAsia="Times New Roman" w:cs="Calibri Light"/>
                <w:color w:val="auto"/>
                <w:sz w:val="18"/>
              </w:rPr>
              <w:t xml:space="preserve">ER totales </w:t>
            </w:r>
          </w:p>
          <w:p w14:paraId="6E2027A1" w14:textId="77777777" w:rsidR="000C28A3" w:rsidRPr="000C28A3" w:rsidRDefault="000C28A3" w:rsidP="00CF6019">
            <w:pPr>
              <w:jc w:val="center"/>
              <w:cnfStyle w:val="100000000000" w:firstRow="1" w:lastRow="0" w:firstColumn="0" w:lastColumn="0" w:oddVBand="0" w:evenVBand="0" w:oddHBand="0" w:evenHBand="0" w:firstRowFirstColumn="0" w:firstRowLastColumn="0" w:lastRowFirstColumn="0" w:lastRowLastColumn="0"/>
              <w:rPr>
                <w:rFonts w:eastAsia="Times New Roman" w:cs="Calibri Light"/>
                <w:color w:val="auto"/>
                <w:sz w:val="18"/>
              </w:rPr>
            </w:pPr>
            <w:r w:rsidRPr="000C28A3">
              <w:rPr>
                <w:rFonts w:eastAsia="Times New Roman" w:cs="Calibri Light"/>
                <w:color w:val="auto"/>
                <w:sz w:val="18"/>
              </w:rPr>
              <w:t>(tCO</w:t>
            </w:r>
            <w:r w:rsidRPr="000C28A3">
              <w:rPr>
                <w:rFonts w:eastAsia="Times New Roman" w:cs="Calibri Light"/>
                <w:color w:val="auto"/>
                <w:sz w:val="18"/>
                <w:vertAlign w:val="subscript"/>
              </w:rPr>
              <w:t>2</w:t>
            </w:r>
            <w:r w:rsidRPr="000C28A3">
              <w:rPr>
                <w:rFonts w:eastAsia="Times New Roman" w:cs="Calibri Light"/>
                <w:color w:val="auto"/>
                <w:sz w:val="18"/>
              </w:rPr>
              <w:t>e año</w:t>
            </w:r>
            <w:r w:rsidRPr="000C28A3">
              <w:rPr>
                <w:rFonts w:eastAsia="Times New Roman" w:cs="Calibri Light"/>
                <w:color w:val="auto"/>
                <w:sz w:val="18"/>
                <w:vertAlign w:val="superscript"/>
              </w:rPr>
              <w:t>-1</w:t>
            </w:r>
            <w:r w:rsidRPr="000C28A3">
              <w:rPr>
                <w:rFonts w:eastAsia="Times New Roman" w:cs="Calibri Light"/>
                <w:color w:val="auto"/>
                <w:sz w:val="18"/>
              </w:rPr>
              <w:t>)</w:t>
            </w:r>
          </w:p>
        </w:tc>
      </w:tr>
      <w:tr w:rsidR="009F5882" w:rsidRPr="00CF6019" w14:paraId="6E2027A8" w14:textId="77777777" w:rsidTr="009140EB">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A3" w14:textId="77777777" w:rsidR="009F5882" w:rsidRPr="000C28A3" w:rsidRDefault="009F5882" w:rsidP="00CF6019">
            <w:pPr>
              <w:jc w:val="both"/>
              <w:rPr>
                <w:rFonts w:eastAsia="Times New Roman" w:cs="Calibri Light"/>
                <w:color w:val="auto"/>
                <w:sz w:val="18"/>
              </w:rPr>
            </w:pPr>
            <w:r w:rsidRPr="000C28A3">
              <w:rPr>
                <w:rFonts w:eastAsia="Times New Roman" w:cs="Calibri Light"/>
                <w:color w:val="auto"/>
                <w:sz w:val="18"/>
              </w:rPr>
              <w:t>Maule</w:t>
            </w:r>
          </w:p>
        </w:tc>
        <w:tc>
          <w:tcPr>
            <w:tcW w:w="0" w:type="auto"/>
            <w:vAlign w:val="center"/>
          </w:tcPr>
          <w:p w14:paraId="6E2027A4"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-3.117</w:t>
            </w:r>
          </w:p>
        </w:tc>
        <w:tc>
          <w:tcPr>
            <w:tcW w:w="0" w:type="auto"/>
            <w:vAlign w:val="center"/>
          </w:tcPr>
          <w:p w14:paraId="6E2027A5"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402.900</w:t>
            </w:r>
          </w:p>
        </w:tc>
        <w:tc>
          <w:tcPr>
            <w:tcW w:w="0" w:type="auto"/>
            <w:vAlign w:val="center"/>
          </w:tcPr>
          <w:p w14:paraId="6E2027A6"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26.510</w:t>
            </w:r>
          </w:p>
        </w:tc>
        <w:tc>
          <w:tcPr>
            <w:tcW w:w="0" w:type="auto"/>
            <w:vAlign w:val="center"/>
          </w:tcPr>
          <w:p w14:paraId="6E2027A7"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429.409</w:t>
            </w:r>
          </w:p>
        </w:tc>
      </w:tr>
      <w:tr w:rsidR="009F5882" w:rsidRPr="00CF6019" w14:paraId="6E2027AE" w14:textId="77777777" w:rsidTr="009140EB">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A9" w14:textId="77777777" w:rsidR="009F5882" w:rsidRPr="000C28A3" w:rsidRDefault="009F5882" w:rsidP="00CF6019">
            <w:pPr>
              <w:jc w:val="both"/>
              <w:rPr>
                <w:rFonts w:eastAsia="Times New Roman" w:cs="Calibri Light"/>
                <w:color w:val="auto"/>
                <w:sz w:val="18"/>
              </w:rPr>
            </w:pPr>
            <w:r w:rsidRPr="000C28A3">
              <w:rPr>
                <w:rFonts w:eastAsia="Times New Roman" w:cs="Calibri Light"/>
                <w:color w:val="auto"/>
                <w:sz w:val="18"/>
              </w:rPr>
              <w:lastRenderedPageBreak/>
              <w:t>Biobío</w:t>
            </w:r>
          </w:p>
        </w:tc>
        <w:tc>
          <w:tcPr>
            <w:tcW w:w="0" w:type="auto"/>
            <w:vAlign w:val="center"/>
          </w:tcPr>
          <w:p w14:paraId="6E2027AA"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0C28A3">
              <w:rPr>
                <w:rFonts w:eastAsia="Calibri" w:cs="Times New Roman"/>
                <w:sz w:val="18"/>
              </w:rPr>
              <w:t>-3.965</w:t>
            </w:r>
          </w:p>
        </w:tc>
        <w:tc>
          <w:tcPr>
            <w:tcW w:w="0" w:type="auto"/>
            <w:vAlign w:val="center"/>
          </w:tcPr>
          <w:p w14:paraId="6E2027AB"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0C28A3">
              <w:rPr>
                <w:rFonts w:eastAsia="Calibri" w:cs="Times New Roman"/>
                <w:sz w:val="18"/>
              </w:rPr>
              <w:t>823.582</w:t>
            </w:r>
          </w:p>
        </w:tc>
        <w:tc>
          <w:tcPr>
            <w:tcW w:w="0" w:type="auto"/>
            <w:vAlign w:val="center"/>
          </w:tcPr>
          <w:p w14:paraId="6E2027AC"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0C28A3">
              <w:rPr>
                <w:rFonts w:eastAsia="Calibri" w:cs="Times New Roman"/>
                <w:sz w:val="18"/>
              </w:rPr>
              <w:t>80.087</w:t>
            </w:r>
          </w:p>
        </w:tc>
        <w:tc>
          <w:tcPr>
            <w:tcW w:w="0" w:type="auto"/>
            <w:vAlign w:val="center"/>
          </w:tcPr>
          <w:p w14:paraId="6E2027AD"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0C28A3">
              <w:rPr>
                <w:rFonts w:eastAsia="Calibri" w:cs="Times New Roman"/>
                <w:sz w:val="18"/>
              </w:rPr>
              <w:t>903.669</w:t>
            </w:r>
          </w:p>
        </w:tc>
      </w:tr>
      <w:tr w:rsidR="009F5882" w:rsidRPr="00CF6019" w14:paraId="6E2027B4" w14:textId="77777777" w:rsidTr="009140EB">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AF" w14:textId="77777777" w:rsidR="009F5882" w:rsidRPr="000C28A3" w:rsidRDefault="009F5882" w:rsidP="00CF6019">
            <w:pPr>
              <w:jc w:val="both"/>
              <w:rPr>
                <w:rFonts w:eastAsia="Times New Roman" w:cs="Calibri Light"/>
                <w:color w:val="auto"/>
                <w:sz w:val="18"/>
              </w:rPr>
            </w:pPr>
            <w:r w:rsidRPr="000C28A3">
              <w:rPr>
                <w:rFonts w:eastAsia="Times New Roman" w:cs="Calibri Light"/>
                <w:color w:val="auto"/>
                <w:sz w:val="18"/>
              </w:rPr>
              <w:t>La Araucanía</w:t>
            </w:r>
          </w:p>
        </w:tc>
        <w:tc>
          <w:tcPr>
            <w:tcW w:w="0" w:type="auto"/>
            <w:vAlign w:val="center"/>
          </w:tcPr>
          <w:p w14:paraId="6E2027B0"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-2.041</w:t>
            </w:r>
          </w:p>
        </w:tc>
        <w:tc>
          <w:tcPr>
            <w:tcW w:w="0" w:type="auto"/>
            <w:vAlign w:val="center"/>
          </w:tcPr>
          <w:p w14:paraId="6E2027B1"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1.100.062</w:t>
            </w:r>
          </w:p>
        </w:tc>
        <w:tc>
          <w:tcPr>
            <w:tcW w:w="0" w:type="auto"/>
            <w:vAlign w:val="center"/>
          </w:tcPr>
          <w:p w14:paraId="6E2027B2"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203.315</w:t>
            </w:r>
          </w:p>
        </w:tc>
        <w:tc>
          <w:tcPr>
            <w:tcW w:w="0" w:type="auto"/>
            <w:vAlign w:val="center"/>
          </w:tcPr>
          <w:p w14:paraId="6E2027B3"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1.303.376</w:t>
            </w:r>
          </w:p>
        </w:tc>
      </w:tr>
      <w:tr w:rsidR="009F5882" w:rsidRPr="00CF6019" w14:paraId="6E2027BA" w14:textId="77777777" w:rsidTr="009140EB">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B5" w14:textId="77777777" w:rsidR="009F5882" w:rsidRPr="000C28A3" w:rsidRDefault="009F5882" w:rsidP="00CF6019">
            <w:pPr>
              <w:jc w:val="both"/>
              <w:rPr>
                <w:rFonts w:eastAsia="Times New Roman" w:cs="Calibri Light"/>
                <w:color w:val="auto"/>
                <w:sz w:val="18"/>
              </w:rPr>
            </w:pPr>
            <w:r w:rsidRPr="000C28A3">
              <w:rPr>
                <w:rFonts w:eastAsia="Times New Roman" w:cs="Calibri Light"/>
                <w:color w:val="auto"/>
                <w:sz w:val="18"/>
              </w:rPr>
              <w:t>Los Ríos</w:t>
            </w:r>
          </w:p>
        </w:tc>
        <w:tc>
          <w:tcPr>
            <w:tcW w:w="0" w:type="auto"/>
            <w:vAlign w:val="center"/>
          </w:tcPr>
          <w:p w14:paraId="6E2027B6"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0C28A3">
              <w:rPr>
                <w:rFonts w:eastAsia="Calibri" w:cs="Times New Roman"/>
                <w:sz w:val="18"/>
              </w:rPr>
              <w:t>-835</w:t>
            </w:r>
          </w:p>
        </w:tc>
        <w:tc>
          <w:tcPr>
            <w:tcW w:w="0" w:type="auto"/>
            <w:vAlign w:val="center"/>
          </w:tcPr>
          <w:p w14:paraId="6E2027B7"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0C28A3">
              <w:rPr>
                <w:rFonts w:eastAsia="Calibri" w:cs="Times New Roman"/>
                <w:sz w:val="18"/>
              </w:rPr>
              <w:t>556.199</w:t>
            </w:r>
          </w:p>
        </w:tc>
        <w:tc>
          <w:tcPr>
            <w:tcW w:w="0" w:type="auto"/>
            <w:vAlign w:val="center"/>
          </w:tcPr>
          <w:p w14:paraId="6E2027B8"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0C28A3">
              <w:rPr>
                <w:rFonts w:eastAsia="Calibri" w:cs="Times New Roman"/>
                <w:sz w:val="18"/>
              </w:rPr>
              <w:t>191.796</w:t>
            </w:r>
          </w:p>
        </w:tc>
        <w:tc>
          <w:tcPr>
            <w:tcW w:w="0" w:type="auto"/>
            <w:vAlign w:val="center"/>
          </w:tcPr>
          <w:p w14:paraId="6E2027B9"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sz w:val="18"/>
              </w:rPr>
            </w:pPr>
            <w:r w:rsidRPr="000C28A3">
              <w:rPr>
                <w:rFonts w:eastAsia="Calibri" w:cs="Times New Roman"/>
                <w:sz w:val="18"/>
              </w:rPr>
              <w:t>747.995</w:t>
            </w:r>
          </w:p>
        </w:tc>
      </w:tr>
      <w:tr w:rsidR="009F5882" w:rsidRPr="00CF6019" w14:paraId="6E2027C0" w14:textId="77777777" w:rsidTr="009140EB">
        <w:trPr>
          <w:cnfStyle w:val="000000100000" w:firstRow="0" w:lastRow="0" w:firstColumn="0" w:lastColumn="0" w:oddVBand="0" w:evenVBand="0" w:oddHBand="1" w:evenHBand="0" w:firstRowFirstColumn="0" w:firstRowLastColumn="0" w:lastRowFirstColumn="0" w:lastRowLastColumn="0"/>
          <w:trHeight w:val="301"/>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BB" w14:textId="77777777" w:rsidR="009F5882" w:rsidRPr="000C28A3" w:rsidRDefault="009F5882" w:rsidP="00CF6019">
            <w:pPr>
              <w:jc w:val="both"/>
              <w:rPr>
                <w:rFonts w:eastAsia="Times New Roman" w:cs="Calibri Light"/>
                <w:color w:val="auto"/>
                <w:sz w:val="18"/>
              </w:rPr>
            </w:pPr>
            <w:r w:rsidRPr="000C28A3">
              <w:rPr>
                <w:rFonts w:eastAsia="Times New Roman" w:cs="Calibri Light"/>
                <w:color w:val="auto"/>
                <w:sz w:val="18"/>
              </w:rPr>
              <w:t xml:space="preserve">Los Lagos </w:t>
            </w:r>
          </w:p>
        </w:tc>
        <w:tc>
          <w:tcPr>
            <w:tcW w:w="0" w:type="auto"/>
            <w:vAlign w:val="center"/>
          </w:tcPr>
          <w:p w14:paraId="6E2027BC"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-733</w:t>
            </w:r>
          </w:p>
        </w:tc>
        <w:tc>
          <w:tcPr>
            <w:tcW w:w="0" w:type="auto"/>
            <w:vAlign w:val="center"/>
          </w:tcPr>
          <w:p w14:paraId="6E2027BD"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380.490</w:t>
            </w:r>
          </w:p>
        </w:tc>
        <w:tc>
          <w:tcPr>
            <w:tcW w:w="0" w:type="auto"/>
            <w:vAlign w:val="center"/>
          </w:tcPr>
          <w:p w14:paraId="6E2027BE"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93.543</w:t>
            </w:r>
          </w:p>
        </w:tc>
        <w:tc>
          <w:tcPr>
            <w:tcW w:w="0" w:type="auto"/>
            <w:vAlign w:val="center"/>
          </w:tcPr>
          <w:p w14:paraId="6E2027BF" w14:textId="77777777" w:rsidR="009F5882" w:rsidRPr="000C28A3" w:rsidRDefault="009F5882" w:rsidP="00CF6019">
            <w:pPr>
              <w:jc w:val="right"/>
              <w:cnfStyle w:val="000000100000" w:firstRow="0" w:lastRow="0" w:firstColumn="0" w:lastColumn="0" w:oddVBand="0" w:evenVBand="0" w:oddHBand="1" w:evenHBand="0" w:firstRowFirstColumn="0" w:firstRowLastColumn="0" w:lastRowFirstColumn="0" w:lastRowLastColumn="0"/>
              <w:rPr>
                <w:rFonts w:eastAsia="Times New Roman" w:cs="Calibri Light"/>
                <w:sz w:val="18"/>
              </w:rPr>
            </w:pPr>
            <w:r w:rsidRPr="000C28A3">
              <w:rPr>
                <w:rFonts w:eastAsia="Calibri" w:cs="Times New Roman"/>
                <w:sz w:val="18"/>
              </w:rPr>
              <w:t>474.032</w:t>
            </w:r>
          </w:p>
        </w:tc>
      </w:tr>
      <w:tr w:rsidR="009F5882" w:rsidRPr="00CF6019" w14:paraId="6E2027C6" w14:textId="77777777" w:rsidTr="009140EB">
        <w:trPr>
          <w:trHeight w:val="301"/>
          <w:jc w:val="center"/>
        </w:trPr>
        <w:tc>
          <w:tcPr>
            <w:cnfStyle w:val="001000000000" w:firstRow="0" w:lastRow="0" w:firstColumn="1" w:lastColumn="0" w:oddVBand="0" w:evenVBand="0" w:oddHBand="0" w:evenHBand="0" w:firstRowFirstColumn="0" w:firstRowLastColumn="0" w:lastRowFirstColumn="0" w:lastRowLastColumn="0"/>
            <w:tcW w:w="0" w:type="auto"/>
          </w:tcPr>
          <w:p w14:paraId="6E2027C1" w14:textId="77777777" w:rsidR="009F5882" w:rsidRPr="000C28A3" w:rsidRDefault="009F5882" w:rsidP="00CF6019">
            <w:pPr>
              <w:jc w:val="both"/>
              <w:rPr>
                <w:rFonts w:eastAsia="Times New Roman" w:cs="Calibri Light"/>
                <w:color w:val="auto"/>
                <w:sz w:val="18"/>
              </w:rPr>
            </w:pPr>
            <w:r w:rsidRPr="000C28A3">
              <w:rPr>
                <w:rFonts w:eastAsia="Times New Roman" w:cs="Calibri Light"/>
                <w:color w:val="auto"/>
                <w:sz w:val="18"/>
              </w:rPr>
              <w:t>Total</w:t>
            </w:r>
          </w:p>
        </w:tc>
        <w:tc>
          <w:tcPr>
            <w:tcW w:w="0" w:type="auto"/>
            <w:vAlign w:val="center"/>
          </w:tcPr>
          <w:p w14:paraId="6E2027C2"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bCs/>
                <w:sz w:val="18"/>
              </w:rPr>
            </w:pPr>
            <w:r w:rsidRPr="000C28A3">
              <w:rPr>
                <w:rFonts w:eastAsia="Calibri" w:cs="Times New Roman"/>
                <w:sz w:val="18"/>
              </w:rPr>
              <w:t>-10.691</w:t>
            </w:r>
          </w:p>
        </w:tc>
        <w:tc>
          <w:tcPr>
            <w:tcW w:w="0" w:type="auto"/>
            <w:vAlign w:val="center"/>
          </w:tcPr>
          <w:p w14:paraId="6E2027C3"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bCs/>
                <w:sz w:val="18"/>
              </w:rPr>
            </w:pPr>
            <w:r w:rsidRPr="000C28A3">
              <w:rPr>
                <w:rFonts w:eastAsia="Calibri" w:cs="Times New Roman"/>
                <w:sz w:val="18"/>
              </w:rPr>
              <w:t>3.263.232</w:t>
            </w:r>
          </w:p>
        </w:tc>
        <w:tc>
          <w:tcPr>
            <w:tcW w:w="0" w:type="auto"/>
            <w:vAlign w:val="center"/>
          </w:tcPr>
          <w:p w14:paraId="6E2027C4"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bCs/>
                <w:sz w:val="18"/>
              </w:rPr>
            </w:pPr>
            <w:r w:rsidRPr="000C28A3">
              <w:rPr>
                <w:rFonts w:eastAsia="Calibri" w:cs="Times New Roman"/>
                <w:sz w:val="18"/>
              </w:rPr>
              <w:t>595.250</w:t>
            </w:r>
          </w:p>
        </w:tc>
        <w:tc>
          <w:tcPr>
            <w:tcW w:w="0" w:type="auto"/>
            <w:vAlign w:val="center"/>
          </w:tcPr>
          <w:p w14:paraId="6E2027C5" w14:textId="77777777" w:rsidR="009F5882" w:rsidRPr="000C28A3" w:rsidRDefault="009F5882" w:rsidP="00CF6019">
            <w:pPr>
              <w:jc w:val="right"/>
              <w:cnfStyle w:val="000000000000" w:firstRow="0" w:lastRow="0" w:firstColumn="0" w:lastColumn="0" w:oddVBand="0" w:evenVBand="0" w:oddHBand="0" w:evenHBand="0" w:firstRowFirstColumn="0" w:firstRowLastColumn="0" w:lastRowFirstColumn="0" w:lastRowLastColumn="0"/>
              <w:rPr>
                <w:rFonts w:eastAsia="Times New Roman" w:cs="Calibri Light"/>
                <w:b/>
                <w:bCs/>
                <w:sz w:val="18"/>
              </w:rPr>
            </w:pPr>
            <w:r w:rsidRPr="000C28A3">
              <w:rPr>
                <w:rFonts w:eastAsia="Calibri" w:cs="Times New Roman"/>
                <w:sz w:val="18"/>
              </w:rPr>
              <w:t>3.858.482</w:t>
            </w:r>
          </w:p>
        </w:tc>
      </w:tr>
    </w:tbl>
    <w:p w14:paraId="6E2027C7" w14:textId="77777777" w:rsidR="000C28A3" w:rsidRPr="00A16D11" w:rsidRDefault="000C28A3" w:rsidP="004F256F">
      <w:pPr>
        <w:jc w:val="both"/>
      </w:pPr>
    </w:p>
    <w:p w14:paraId="6E2027C8" w14:textId="77777777" w:rsidR="009E7A45" w:rsidRPr="00A16D11" w:rsidRDefault="009E7A45" w:rsidP="008B1959">
      <w:pPr>
        <w:pStyle w:val="Prrafodelista"/>
        <w:numPr>
          <w:ilvl w:val="0"/>
          <w:numId w:val="3"/>
        </w:numPr>
        <w:spacing w:line="240" w:lineRule="auto"/>
      </w:pPr>
      <w:r w:rsidRPr="00A16D11">
        <w:t xml:space="preserve">Página 73, sobre Degradación por sustitución, párrafo, línea 1: </w:t>
      </w:r>
    </w:p>
    <w:p w14:paraId="6E2027CA" w14:textId="0D5D059C" w:rsidR="00A16D11" w:rsidRPr="00CF6019" w:rsidRDefault="00A16D11" w:rsidP="008B1959">
      <w:pPr>
        <w:spacing w:line="240" w:lineRule="auto"/>
        <w:ind w:left="708"/>
        <w:rPr>
          <w:rFonts w:cs="gobCL"/>
          <w:i/>
          <w:color w:val="3D3C3B"/>
        </w:rPr>
      </w:pPr>
      <w:r w:rsidRPr="00A16D11">
        <w:t xml:space="preserve">Donde dice: </w:t>
      </w:r>
      <w:r w:rsidR="006760F6">
        <w:t xml:space="preserve"> “</w:t>
      </w:r>
      <w:r w:rsidRPr="00CF6019">
        <w:rPr>
          <w:rFonts w:cs="gobCL"/>
          <w:i/>
          <w:color w:val="3D3C3B"/>
        </w:rPr>
        <w:t xml:space="preserve">De manera similar a la deforestación, el primer paso </w:t>
      </w:r>
      <w:r w:rsidRPr="008B1959">
        <w:rPr>
          <w:rFonts w:cs="gobCL"/>
          <w:b/>
          <w:i/>
          <w:color w:val="3D3C3B"/>
        </w:rPr>
        <w:t>es</w:t>
      </w:r>
      <w:r w:rsidRPr="00CF6019">
        <w:rPr>
          <w:rFonts w:cs="gobCL"/>
          <w:i/>
          <w:color w:val="3D3C3B"/>
        </w:rPr>
        <w:t xml:space="preserve"> estimar la incertidumbre para la degradación por sustitución</w:t>
      </w:r>
      <w:r w:rsidR="006760F6">
        <w:rPr>
          <w:rFonts w:cs="gobCL"/>
          <w:i/>
          <w:color w:val="3D3C3B"/>
        </w:rPr>
        <w:t>..”</w:t>
      </w:r>
      <w:r w:rsidRPr="00CF6019">
        <w:rPr>
          <w:rFonts w:cs="gobCL"/>
          <w:i/>
          <w:color w:val="3D3C3B"/>
        </w:rPr>
        <w:t xml:space="preserve"> </w:t>
      </w:r>
    </w:p>
    <w:p w14:paraId="6E2027CC" w14:textId="7DAE0C25" w:rsidR="009E7A45" w:rsidRPr="00CF6019" w:rsidRDefault="00A16D11" w:rsidP="008B1959">
      <w:pPr>
        <w:spacing w:line="240" w:lineRule="auto"/>
        <w:ind w:left="708"/>
        <w:rPr>
          <w:rFonts w:cs="gobCL"/>
          <w:i/>
          <w:color w:val="3D3C3B"/>
        </w:rPr>
      </w:pPr>
      <w:r w:rsidRPr="00A16D11">
        <w:rPr>
          <w:rFonts w:cs="gobCL"/>
          <w:color w:val="3D3C3B"/>
        </w:rPr>
        <w:t>Debe decir</w:t>
      </w:r>
      <w:r w:rsidR="006760F6">
        <w:rPr>
          <w:rFonts w:cs="gobCL"/>
          <w:color w:val="3D3C3B"/>
        </w:rPr>
        <w:t xml:space="preserve">: </w:t>
      </w:r>
      <w:r w:rsidR="009E7A45" w:rsidRPr="00CF6019">
        <w:rPr>
          <w:rFonts w:cs="gobCL"/>
          <w:i/>
          <w:color w:val="3D3C3B"/>
        </w:rPr>
        <w:t xml:space="preserve">“De manera similar a la deforestación, el primer </w:t>
      </w:r>
      <w:r w:rsidR="009E7A45" w:rsidRPr="008B1959">
        <w:rPr>
          <w:rFonts w:cs="gobCL"/>
          <w:i/>
          <w:color w:val="3D3C3B"/>
        </w:rPr>
        <w:t>paso</w:t>
      </w:r>
      <w:r w:rsidR="009E7A45" w:rsidRPr="00CF6019">
        <w:rPr>
          <w:rFonts w:cs="gobCL"/>
          <w:i/>
          <w:color w:val="3D3C3B"/>
        </w:rPr>
        <w:t xml:space="preserve"> </w:t>
      </w:r>
      <w:r w:rsidR="009E7A45" w:rsidRPr="008B1959">
        <w:rPr>
          <w:rFonts w:cs="gobCL"/>
          <w:b/>
          <w:i/>
          <w:color w:val="3D3C3B"/>
        </w:rPr>
        <w:t>para</w:t>
      </w:r>
      <w:r w:rsidR="009E7A45" w:rsidRPr="00CF6019">
        <w:rPr>
          <w:rFonts w:cs="gobCL"/>
          <w:i/>
          <w:color w:val="3D3C3B"/>
        </w:rPr>
        <w:t xml:space="preserve"> estimar la incertidumbre para la degradación por sustitución…”</w:t>
      </w:r>
    </w:p>
    <w:p w14:paraId="6E2027CD" w14:textId="77777777" w:rsidR="008D3EDD" w:rsidRPr="00A16D11" w:rsidRDefault="008D3EDD" w:rsidP="008D3EDD">
      <w:pPr>
        <w:autoSpaceDE w:val="0"/>
        <w:autoSpaceDN w:val="0"/>
        <w:adjustRightInd w:val="0"/>
        <w:spacing w:after="0" w:line="240" w:lineRule="auto"/>
        <w:rPr>
          <w:rFonts w:cs="gobCL"/>
          <w:color w:val="3D3C3B"/>
        </w:rPr>
      </w:pPr>
    </w:p>
    <w:p w14:paraId="6E2027CE" w14:textId="77777777" w:rsidR="00A16D11" w:rsidRPr="00A16D11" w:rsidRDefault="008D3EDD" w:rsidP="00A16D11">
      <w:pPr>
        <w:pStyle w:val="Prrafodelista"/>
        <w:numPr>
          <w:ilvl w:val="0"/>
          <w:numId w:val="3"/>
        </w:numPr>
        <w:autoSpaceDE w:val="0"/>
        <w:autoSpaceDN w:val="0"/>
        <w:adjustRightInd w:val="0"/>
        <w:spacing w:after="0" w:line="240" w:lineRule="auto"/>
        <w:rPr>
          <w:rFonts w:cs="gobCL"/>
          <w:color w:val="3D3C3B"/>
        </w:rPr>
      </w:pPr>
      <w:r w:rsidRPr="00A16D11">
        <w:rPr>
          <w:rFonts w:cs="gobCL"/>
          <w:color w:val="3D3C3B"/>
        </w:rPr>
        <w:t xml:space="preserve">Página 76, sobre Recuperación de bosques degradados, </w:t>
      </w:r>
    </w:p>
    <w:p w14:paraId="6E2027CF" w14:textId="77777777" w:rsidR="00CF6019" w:rsidRDefault="00CF6019" w:rsidP="00A16D11">
      <w:pPr>
        <w:pStyle w:val="Prrafodelista"/>
        <w:autoSpaceDE w:val="0"/>
        <w:autoSpaceDN w:val="0"/>
        <w:adjustRightInd w:val="0"/>
        <w:spacing w:after="0" w:line="240" w:lineRule="auto"/>
        <w:rPr>
          <w:rFonts w:cs="gobCL"/>
          <w:color w:val="3D3C3B"/>
        </w:rPr>
      </w:pPr>
    </w:p>
    <w:p w14:paraId="6E2027D0" w14:textId="77777777" w:rsidR="00A16D11" w:rsidRPr="00CF6019" w:rsidRDefault="00CF6019" w:rsidP="00CF6019">
      <w:pPr>
        <w:pStyle w:val="Prrafodelista"/>
        <w:autoSpaceDE w:val="0"/>
        <w:autoSpaceDN w:val="0"/>
        <w:adjustRightInd w:val="0"/>
        <w:spacing w:after="0" w:line="240" w:lineRule="auto"/>
        <w:rPr>
          <w:rFonts w:cs="gobCL"/>
          <w:i/>
          <w:color w:val="3D3C3B"/>
        </w:rPr>
      </w:pPr>
      <w:r>
        <w:rPr>
          <w:rFonts w:cs="gobCL"/>
          <w:color w:val="3D3C3B"/>
        </w:rPr>
        <w:t xml:space="preserve">Donde dice: </w:t>
      </w:r>
      <w:r w:rsidR="00A16D11" w:rsidRPr="00CF6019">
        <w:rPr>
          <w:rFonts w:cs="gobCL-Bold"/>
          <w:b/>
          <w:bCs/>
          <w:i/>
          <w:color w:val="3D3C3B"/>
        </w:rPr>
        <w:t>Incertidumbre estimada en el 70,9%</w:t>
      </w:r>
      <w:r w:rsidR="00A16D11" w:rsidRPr="00CF6019">
        <w:rPr>
          <w:rFonts w:cs="gobCL"/>
          <w:i/>
          <w:color w:val="3D3C3B"/>
        </w:rPr>
        <w:t>.</w:t>
      </w:r>
    </w:p>
    <w:p w14:paraId="6E2027D1" w14:textId="77777777" w:rsidR="00A16D11" w:rsidRDefault="00A16D11" w:rsidP="00CF6019">
      <w:pPr>
        <w:pStyle w:val="Prrafodelista"/>
        <w:autoSpaceDE w:val="0"/>
        <w:autoSpaceDN w:val="0"/>
        <w:adjustRightInd w:val="0"/>
        <w:spacing w:after="0" w:line="240" w:lineRule="auto"/>
        <w:rPr>
          <w:rFonts w:cs="gobCL-Bold"/>
          <w:b/>
          <w:bCs/>
          <w:i/>
          <w:color w:val="3D3C3B"/>
        </w:rPr>
      </w:pPr>
      <w:r w:rsidRPr="00A16D11">
        <w:rPr>
          <w:rFonts w:cs="gobCL"/>
          <w:color w:val="3D3C3B"/>
        </w:rPr>
        <w:t>Debe decir</w:t>
      </w:r>
      <w:r w:rsidR="00CF6019">
        <w:rPr>
          <w:rFonts w:cs="gobCL"/>
          <w:color w:val="3D3C3B"/>
        </w:rPr>
        <w:t xml:space="preserve">: </w:t>
      </w:r>
      <w:r w:rsidRPr="00CF6019">
        <w:rPr>
          <w:rFonts w:cs="gobCL-Bold"/>
          <w:b/>
          <w:bCs/>
          <w:i/>
          <w:color w:val="3D3C3B"/>
        </w:rPr>
        <w:t>Incertidumbre estimada en el 70,85%</w:t>
      </w:r>
    </w:p>
    <w:p w14:paraId="6E2027D2" w14:textId="77777777" w:rsidR="00F80740" w:rsidRDefault="00F80740" w:rsidP="00CF6019">
      <w:pPr>
        <w:pStyle w:val="Prrafodelista"/>
        <w:autoSpaceDE w:val="0"/>
        <w:autoSpaceDN w:val="0"/>
        <w:adjustRightInd w:val="0"/>
        <w:spacing w:after="0" w:line="240" w:lineRule="auto"/>
        <w:rPr>
          <w:rFonts w:cs="gobCL-Bold"/>
          <w:b/>
          <w:bCs/>
          <w:i/>
          <w:color w:val="3D3C3B"/>
        </w:rPr>
      </w:pPr>
    </w:p>
    <w:p w14:paraId="6E2027D3" w14:textId="77777777" w:rsidR="00F80740" w:rsidRDefault="00F80740" w:rsidP="00F80740">
      <w:pPr>
        <w:pStyle w:val="Prrafodelista"/>
        <w:numPr>
          <w:ilvl w:val="0"/>
          <w:numId w:val="3"/>
        </w:numPr>
        <w:autoSpaceDE w:val="0"/>
        <w:autoSpaceDN w:val="0"/>
        <w:adjustRightInd w:val="0"/>
        <w:spacing w:after="0" w:line="240" w:lineRule="auto"/>
        <w:rPr>
          <w:rFonts w:cs="gobCL"/>
          <w:color w:val="3D3C3B"/>
        </w:rPr>
      </w:pPr>
      <w:r w:rsidRPr="00A16D11">
        <w:rPr>
          <w:rFonts w:cs="gobCL"/>
          <w:color w:val="3D3C3B"/>
        </w:rPr>
        <w:t xml:space="preserve">Página 76, sobre </w:t>
      </w:r>
      <w:r>
        <w:rPr>
          <w:rFonts w:cs="gobCL"/>
          <w:color w:val="3D3C3B"/>
        </w:rPr>
        <w:t>conservación</w:t>
      </w:r>
      <w:r w:rsidRPr="00A16D11">
        <w:rPr>
          <w:rFonts w:cs="gobCL"/>
          <w:color w:val="3D3C3B"/>
        </w:rPr>
        <w:t xml:space="preserve"> de bosques, </w:t>
      </w:r>
    </w:p>
    <w:p w14:paraId="6E2027D4" w14:textId="77777777" w:rsidR="00F80740" w:rsidRPr="00CF6019" w:rsidRDefault="00F80740" w:rsidP="00F80740">
      <w:pPr>
        <w:pStyle w:val="Prrafodelista"/>
        <w:autoSpaceDE w:val="0"/>
        <w:autoSpaceDN w:val="0"/>
        <w:adjustRightInd w:val="0"/>
        <w:spacing w:after="0" w:line="240" w:lineRule="auto"/>
        <w:rPr>
          <w:rFonts w:cs="gobCL"/>
          <w:i/>
          <w:color w:val="3D3C3B"/>
        </w:rPr>
      </w:pPr>
      <w:r>
        <w:rPr>
          <w:rFonts w:cs="gobCL"/>
          <w:color w:val="3D3C3B"/>
        </w:rPr>
        <w:t xml:space="preserve">Donde dice: </w:t>
      </w:r>
      <w:r w:rsidRPr="00F80740">
        <w:rPr>
          <w:rFonts w:cs="gobCL-Bold"/>
          <w:b/>
          <w:bCs/>
          <w:i/>
          <w:color w:val="3D3C3B"/>
        </w:rPr>
        <w:t>incertidumbre estimada para la</w:t>
      </w:r>
      <w:r>
        <w:rPr>
          <w:rFonts w:cs="gobCL-Bold"/>
          <w:b/>
          <w:bCs/>
          <w:i/>
          <w:color w:val="3D3C3B"/>
        </w:rPr>
        <w:t xml:space="preserve"> </w:t>
      </w:r>
      <w:r w:rsidRPr="00F80740">
        <w:rPr>
          <w:rFonts w:cs="gobCL-Bold"/>
          <w:b/>
          <w:bCs/>
          <w:i/>
          <w:color w:val="3D3C3B"/>
        </w:rPr>
        <w:t>conservación de</w:t>
      </w:r>
      <w:r>
        <w:rPr>
          <w:rFonts w:cs="gobCL-Bold"/>
          <w:b/>
          <w:bCs/>
          <w:i/>
          <w:color w:val="3D3C3B"/>
        </w:rPr>
        <w:t xml:space="preserve"> 61</w:t>
      </w:r>
      <w:r w:rsidRPr="00CF6019">
        <w:rPr>
          <w:rFonts w:cs="gobCL-Bold"/>
          <w:b/>
          <w:bCs/>
          <w:i/>
          <w:color w:val="3D3C3B"/>
        </w:rPr>
        <w:t>,</w:t>
      </w:r>
      <w:r>
        <w:rPr>
          <w:rFonts w:cs="gobCL-Bold"/>
          <w:b/>
          <w:bCs/>
          <w:i/>
          <w:color w:val="3D3C3B"/>
        </w:rPr>
        <w:t>7</w:t>
      </w:r>
      <w:r w:rsidRPr="00CF6019">
        <w:rPr>
          <w:rFonts w:cs="gobCL-Bold"/>
          <w:b/>
          <w:bCs/>
          <w:i/>
          <w:color w:val="3D3C3B"/>
        </w:rPr>
        <w:t>%</w:t>
      </w:r>
      <w:r w:rsidRPr="00CF6019">
        <w:rPr>
          <w:rFonts w:cs="gobCL"/>
          <w:i/>
          <w:color w:val="3D3C3B"/>
        </w:rPr>
        <w:t>.</w:t>
      </w:r>
    </w:p>
    <w:p w14:paraId="6E2027D5" w14:textId="77777777" w:rsidR="00F80740" w:rsidRPr="0069568F" w:rsidRDefault="00F80740" w:rsidP="00F80740">
      <w:pPr>
        <w:pStyle w:val="Prrafodelista"/>
        <w:autoSpaceDE w:val="0"/>
        <w:autoSpaceDN w:val="0"/>
        <w:adjustRightInd w:val="0"/>
        <w:spacing w:after="0" w:line="240" w:lineRule="auto"/>
        <w:rPr>
          <w:rFonts w:cs="gobCL-Bold"/>
          <w:bCs/>
          <w:i/>
          <w:color w:val="3D3C3B"/>
        </w:rPr>
      </w:pPr>
      <w:r w:rsidRPr="00A16D11">
        <w:rPr>
          <w:rFonts w:cs="gobCL"/>
          <w:color w:val="3D3C3B"/>
        </w:rPr>
        <w:t>Debe decir</w:t>
      </w:r>
      <w:r>
        <w:rPr>
          <w:rFonts w:cs="gobCL"/>
          <w:color w:val="3D3C3B"/>
        </w:rPr>
        <w:t xml:space="preserve">: </w:t>
      </w:r>
      <w:r w:rsidRPr="00F80740">
        <w:rPr>
          <w:rFonts w:cs="gobCL-Bold"/>
          <w:b/>
          <w:bCs/>
          <w:i/>
          <w:color w:val="3D3C3B"/>
        </w:rPr>
        <w:t>incertidumbre estimada para la</w:t>
      </w:r>
      <w:r>
        <w:rPr>
          <w:rFonts w:cs="gobCL-Bold"/>
          <w:b/>
          <w:bCs/>
          <w:i/>
          <w:color w:val="3D3C3B"/>
        </w:rPr>
        <w:t xml:space="preserve"> </w:t>
      </w:r>
      <w:r w:rsidRPr="00F80740">
        <w:rPr>
          <w:rFonts w:cs="gobCL-Bold"/>
          <w:b/>
          <w:bCs/>
          <w:i/>
          <w:color w:val="3D3C3B"/>
        </w:rPr>
        <w:t>conservación de</w:t>
      </w:r>
      <w:r>
        <w:rPr>
          <w:rFonts w:cs="gobCL-Bold"/>
          <w:b/>
          <w:bCs/>
          <w:i/>
          <w:color w:val="3D3C3B"/>
        </w:rPr>
        <w:t xml:space="preserve"> 61</w:t>
      </w:r>
      <w:r w:rsidRPr="00CF6019">
        <w:rPr>
          <w:rFonts w:cs="gobCL-Bold"/>
          <w:b/>
          <w:bCs/>
          <w:i/>
          <w:color w:val="3D3C3B"/>
        </w:rPr>
        <w:t>,</w:t>
      </w:r>
      <w:r>
        <w:rPr>
          <w:rFonts w:cs="gobCL-Bold"/>
          <w:b/>
          <w:bCs/>
          <w:i/>
          <w:color w:val="3D3C3B"/>
        </w:rPr>
        <w:t>72</w:t>
      </w:r>
      <w:r w:rsidRPr="00CF6019">
        <w:rPr>
          <w:rFonts w:cs="gobCL-Bold"/>
          <w:b/>
          <w:bCs/>
          <w:i/>
          <w:color w:val="3D3C3B"/>
        </w:rPr>
        <w:t>%</w:t>
      </w:r>
      <w:r w:rsidR="0069568F">
        <w:rPr>
          <w:rFonts w:cs="gobCL-Bold"/>
          <w:b/>
          <w:bCs/>
          <w:i/>
          <w:color w:val="3D3C3B"/>
        </w:rPr>
        <w:t xml:space="preserve"> ; </w:t>
      </w:r>
      <w:r w:rsidR="0069568F" w:rsidRPr="0069568F">
        <w:rPr>
          <w:rFonts w:cs="gobCL-Bold"/>
          <w:bCs/>
          <w:i/>
          <w:color w:val="3D3C3B"/>
        </w:rPr>
        <w:t>también se corrige en tabla 57</w:t>
      </w:r>
    </w:p>
    <w:p w14:paraId="6E2027D6" w14:textId="77777777" w:rsidR="0069568F" w:rsidRPr="0069568F" w:rsidRDefault="0069568F" w:rsidP="0069568F">
      <w:pPr>
        <w:autoSpaceDE w:val="0"/>
        <w:autoSpaceDN w:val="0"/>
        <w:adjustRightInd w:val="0"/>
        <w:spacing w:after="0" w:line="240" w:lineRule="auto"/>
        <w:rPr>
          <w:rFonts w:cs="gobCL-Bold"/>
          <w:bCs/>
          <w:i/>
          <w:color w:val="3D3C3B"/>
        </w:rPr>
      </w:pPr>
    </w:p>
    <w:p w14:paraId="6E2027D7" w14:textId="77777777" w:rsidR="0069568F" w:rsidRDefault="0069568F" w:rsidP="0069568F">
      <w:pPr>
        <w:pStyle w:val="Prrafodelista"/>
        <w:numPr>
          <w:ilvl w:val="0"/>
          <w:numId w:val="3"/>
        </w:numPr>
        <w:autoSpaceDE w:val="0"/>
        <w:autoSpaceDN w:val="0"/>
        <w:adjustRightInd w:val="0"/>
        <w:spacing w:after="0" w:line="240" w:lineRule="auto"/>
        <w:rPr>
          <w:rFonts w:cs="gobCL"/>
          <w:color w:val="3D3C3B"/>
        </w:rPr>
      </w:pPr>
      <w:r w:rsidRPr="00A16D11">
        <w:rPr>
          <w:rFonts w:cs="gobCL"/>
          <w:color w:val="3D3C3B"/>
        </w:rPr>
        <w:t xml:space="preserve">Página 76, sobre </w:t>
      </w:r>
      <w:r>
        <w:rPr>
          <w:rFonts w:cs="gobCL"/>
          <w:color w:val="3D3C3B"/>
        </w:rPr>
        <w:t>Incertidumbre total</w:t>
      </w:r>
      <w:r w:rsidRPr="00A16D11">
        <w:rPr>
          <w:rFonts w:cs="gobCL"/>
          <w:color w:val="3D3C3B"/>
        </w:rPr>
        <w:t xml:space="preserve">, </w:t>
      </w:r>
    </w:p>
    <w:p w14:paraId="6E2027D8" w14:textId="77777777" w:rsidR="00F80740" w:rsidRDefault="0069568F" w:rsidP="00F80740">
      <w:pPr>
        <w:pStyle w:val="Prrafodelista"/>
        <w:autoSpaceDE w:val="0"/>
        <w:autoSpaceDN w:val="0"/>
        <w:adjustRightInd w:val="0"/>
        <w:spacing w:after="0" w:line="240" w:lineRule="auto"/>
        <w:rPr>
          <w:rFonts w:cs="gobCL"/>
          <w:color w:val="3D3C3B"/>
        </w:rPr>
      </w:pPr>
      <w:r>
        <w:rPr>
          <w:rFonts w:cs="gobCL"/>
          <w:color w:val="3D3C3B"/>
        </w:rPr>
        <w:t>Donde dice:</w:t>
      </w:r>
      <w:r w:rsidRPr="0069568F">
        <w:t xml:space="preserve"> </w:t>
      </w:r>
      <w:r w:rsidRPr="0069568F">
        <w:rPr>
          <w:rFonts w:cs="gobCL"/>
          <w:b/>
          <w:color w:val="3D3C3B"/>
        </w:rPr>
        <w:t>incertidumbre total de 38,8%</w:t>
      </w:r>
      <w:r>
        <w:rPr>
          <w:rFonts w:cs="gobCL"/>
          <w:color w:val="3D3C3B"/>
        </w:rPr>
        <w:t xml:space="preserve"> </w:t>
      </w:r>
    </w:p>
    <w:p w14:paraId="6E2027D9" w14:textId="77777777" w:rsidR="0069568F" w:rsidRPr="00A16D11" w:rsidRDefault="0069568F" w:rsidP="00F80740">
      <w:pPr>
        <w:pStyle w:val="Prrafodelista"/>
        <w:autoSpaceDE w:val="0"/>
        <w:autoSpaceDN w:val="0"/>
        <w:adjustRightInd w:val="0"/>
        <w:spacing w:after="0" w:line="240" w:lineRule="auto"/>
        <w:rPr>
          <w:rFonts w:cs="gobCL"/>
          <w:color w:val="3D3C3B"/>
        </w:rPr>
      </w:pPr>
      <w:r w:rsidRPr="00A16D11">
        <w:rPr>
          <w:rFonts w:cs="gobCL"/>
          <w:color w:val="3D3C3B"/>
        </w:rPr>
        <w:t>Debe decir</w:t>
      </w:r>
      <w:r>
        <w:rPr>
          <w:rFonts w:cs="gobCL"/>
          <w:color w:val="3D3C3B"/>
        </w:rPr>
        <w:t>:</w:t>
      </w:r>
      <w:r w:rsidRPr="0069568F">
        <w:rPr>
          <w:rFonts w:cs="gobCL"/>
          <w:b/>
          <w:color w:val="3D3C3B"/>
        </w:rPr>
        <w:t xml:space="preserve"> incertidumbre total de</w:t>
      </w:r>
      <w:r>
        <w:rPr>
          <w:rFonts w:cs="gobCL"/>
          <w:b/>
          <w:color w:val="3D3C3B"/>
        </w:rPr>
        <w:t xml:space="preserve"> 38.68%, </w:t>
      </w:r>
      <w:r w:rsidRPr="0069568F">
        <w:rPr>
          <w:rFonts w:cs="gobCL-Bold"/>
          <w:bCs/>
          <w:i/>
          <w:color w:val="3D3C3B"/>
        </w:rPr>
        <w:t>también se corrige en tabla 57</w:t>
      </w:r>
    </w:p>
    <w:p w14:paraId="6E2027DA" w14:textId="77777777" w:rsidR="00BA0872" w:rsidRDefault="00BA0872" w:rsidP="00CF6019">
      <w:pPr>
        <w:pStyle w:val="Prrafodelista"/>
        <w:autoSpaceDE w:val="0"/>
        <w:autoSpaceDN w:val="0"/>
        <w:adjustRightInd w:val="0"/>
        <w:spacing w:after="0" w:line="240" w:lineRule="auto"/>
        <w:rPr>
          <w:rFonts w:cs="gobCL-Bold"/>
          <w:b/>
          <w:bCs/>
          <w:i/>
          <w:color w:val="3D3C3B"/>
        </w:rPr>
      </w:pPr>
    </w:p>
    <w:p w14:paraId="6E2027DB" w14:textId="77777777" w:rsidR="00BA0872" w:rsidRPr="008B1959" w:rsidRDefault="00BA0872" w:rsidP="00CF6019">
      <w:pPr>
        <w:pStyle w:val="Prrafodelista"/>
        <w:autoSpaceDE w:val="0"/>
        <w:autoSpaceDN w:val="0"/>
        <w:adjustRightInd w:val="0"/>
        <w:spacing w:after="0" w:line="240" w:lineRule="auto"/>
        <w:rPr>
          <w:rFonts w:cs="gobCL-Bold"/>
          <w:b/>
          <w:bCs/>
          <w:color w:val="3D3C3B"/>
          <w:u w:val="single"/>
        </w:rPr>
      </w:pPr>
      <w:r w:rsidRPr="008B1959">
        <w:rPr>
          <w:rFonts w:cs="gobCL-Bold"/>
          <w:b/>
          <w:bCs/>
          <w:color w:val="3D3C3B"/>
          <w:u w:val="single"/>
        </w:rPr>
        <w:t>Correcciones Generales</w:t>
      </w:r>
    </w:p>
    <w:p w14:paraId="6E2027DC" w14:textId="77777777" w:rsidR="008B1959" w:rsidRPr="00BA0872" w:rsidRDefault="008B1959" w:rsidP="00CF6019">
      <w:pPr>
        <w:pStyle w:val="Prrafodelista"/>
        <w:autoSpaceDE w:val="0"/>
        <w:autoSpaceDN w:val="0"/>
        <w:adjustRightInd w:val="0"/>
        <w:spacing w:after="0" w:line="240" w:lineRule="auto"/>
        <w:rPr>
          <w:rFonts w:cs="gobCL-Bold"/>
          <w:b/>
          <w:bCs/>
          <w:color w:val="3D3C3B"/>
        </w:rPr>
      </w:pPr>
    </w:p>
    <w:p w14:paraId="6E2027DD" w14:textId="77777777" w:rsidR="00BA0872" w:rsidRPr="00A16D11" w:rsidRDefault="00BA0872" w:rsidP="00BA0872">
      <w:pPr>
        <w:pStyle w:val="Prrafodelista"/>
        <w:numPr>
          <w:ilvl w:val="0"/>
          <w:numId w:val="3"/>
        </w:numPr>
      </w:pPr>
      <w:r w:rsidRPr="00A16D11">
        <w:t xml:space="preserve">Corrección general: </w:t>
      </w:r>
      <w:r w:rsidRPr="0007351C">
        <w:rPr>
          <w:i/>
        </w:rPr>
        <w:t>se corrige formato de párrafo de términos de ecuaciones a formato cursiva, en todo el documento.</w:t>
      </w:r>
    </w:p>
    <w:p w14:paraId="6E2027DE" w14:textId="77777777" w:rsidR="00BA0872" w:rsidRPr="0007351C" w:rsidRDefault="00BA0872" w:rsidP="00BA0872">
      <w:pPr>
        <w:pStyle w:val="Prrafodelista"/>
        <w:numPr>
          <w:ilvl w:val="0"/>
          <w:numId w:val="3"/>
        </w:numPr>
        <w:rPr>
          <w:i/>
        </w:rPr>
      </w:pPr>
      <w:r w:rsidRPr="00A16D11">
        <w:t xml:space="preserve">Corrección general: </w:t>
      </w:r>
      <w:r w:rsidRPr="0007351C">
        <w:rPr>
          <w:i/>
        </w:rPr>
        <w:t xml:space="preserve">se modifica uso de decimales y aproximación a números enteros en tablas de resultados de superficie y emisiones o capturas, dejando solo  números enteros. </w:t>
      </w:r>
    </w:p>
    <w:p w14:paraId="6E2027DF" w14:textId="6A78DE18" w:rsidR="00BA0872" w:rsidRPr="00A16D11" w:rsidRDefault="008B1959" w:rsidP="00BA0872">
      <w:pPr>
        <w:pStyle w:val="Prrafodelista"/>
        <w:numPr>
          <w:ilvl w:val="0"/>
          <w:numId w:val="3"/>
        </w:numPr>
      </w:pPr>
      <w:r>
        <w:t>C</w:t>
      </w:r>
      <w:r w:rsidR="00BA0872" w:rsidRPr="00A16D11">
        <w:t xml:space="preserve">orrección general: </w:t>
      </w:r>
      <w:r w:rsidR="00BA0872" w:rsidRPr="0007351C">
        <w:rPr>
          <w:i/>
        </w:rPr>
        <w:t xml:space="preserve">se </w:t>
      </w:r>
      <w:r w:rsidR="00691A3E">
        <w:rPr>
          <w:i/>
        </w:rPr>
        <w:t>dejan los</w:t>
      </w:r>
      <w:r w:rsidR="00BA0872" w:rsidRPr="0007351C">
        <w:rPr>
          <w:i/>
        </w:rPr>
        <w:t xml:space="preserve"> resultados en párrafos que describen tablas</w:t>
      </w:r>
      <w:r w:rsidR="00F934FA">
        <w:rPr>
          <w:i/>
        </w:rPr>
        <w:t xml:space="preserve"> </w:t>
      </w:r>
      <w:bookmarkStart w:id="0" w:name="_GoBack"/>
      <w:bookmarkEnd w:id="0"/>
      <w:r w:rsidR="00BA0872" w:rsidRPr="0007351C">
        <w:rPr>
          <w:i/>
        </w:rPr>
        <w:t xml:space="preserve">solo con números enteros. </w:t>
      </w:r>
    </w:p>
    <w:p w14:paraId="6E2027E0" w14:textId="77777777" w:rsidR="00BA0872" w:rsidRPr="00CF6019" w:rsidRDefault="00BA0872" w:rsidP="00CF6019">
      <w:pPr>
        <w:pStyle w:val="Prrafodelista"/>
        <w:autoSpaceDE w:val="0"/>
        <w:autoSpaceDN w:val="0"/>
        <w:adjustRightInd w:val="0"/>
        <w:spacing w:after="0" w:line="240" w:lineRule="auto"/>
        <w:rPr>
          <w:rFonts w:cs="gobCL"/>
          <w:color w:val="3D3C3B"/>
        </w:rPr>
      </w:pPr>
    </w:p>
    <w:sectPr w:rsidR="00BA0872" w:rsidRPr="00CF6019" w:rsidSect="00F72BA3">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obC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bCL-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F7324"/>
    <w:multiLevelType w:val="hybridMultilevel"/>
    <w:tmpl w:val="E6F28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E2379"/>
    <w:multiLevelType w:val="hybridMultilevel"/>
    <w:tmpl w:val="F44ED798"/>
    <w:lvl w:ilvl="0" w:tplc="340A000F">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357D4A27"/>
    <w:multiLevelType w:val="hybridMultilevel"/>
    <w:tmpl w:val="C0AAD4C0"/>
    <w:lvl w:ilvl="0" w:tplc="2DCC543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3" w15:restartNumberingAfterBreak="0">
    <w:nsid w:val="39E662E2"/>
    <w:multiLevelType w:val="hybridMultilevel"/>
    <w:tmpl w:val="1424079E"/>
    <w:lvl w:ilvl="0" w:tplc="A432C0CA">
      <w:start w:val="1"/>
      <w:numFmt w:val="decimal"/>
      <w:lvlText w:val="%1."/>
      <w:lvlJc w:val="left"/>
      <w:pPr>
        <w:ind w:left="720" w:hanging="360"/>
      </w:pPr>
    </w:lvl>
    <w:lvl w:ilvl="1" w:tplc="340A0003" w:tentative="1">
      <w:start w:val="1"/>
      <w:numFmt w:val="lowerLetter"/>
      <w:lvlText w:val="%2."/>
      <w:lvlJc w:val="left"/>
      <w:pPr>
        <w:ind w:left="1440" w:hanging="360"/>
      </w:pPr>
    </w:lvl>
    <w:lvl w:ilvl="2" w:tplc="340A0005" w:tentative="1">
      <w:start w:val="1"/>
      <w:numFmt w:val="lowerRoman"/>
      <w:lvlText w:val="%3."/>
      <w:lvlJc w:val="right"/>
      <w:pPr>
        <w:ind w:left="2160" w:hanging="180"/>
      </w:pPr>
    </w:lvl>
    <w:lvl w:ilvl="3" w:tplc="340A0001" w:tentative="1">
      <w:start w:val="1"/>
      <w:numFmt w:val="decimal"/>
      <w:lvlText w:val="%4."/>
      <w:lvlJc w:val="left"/>
      <w:pPr>
        <w:ind w:left="2880" w:hanging="360"/>
      </w:pPr>
    </w:lvl>
    <w:lvl w:ilvl="4" w:tplc="340A0003" w:tentative="1">
      <w:start w:val="1"/>
      <w:numFmt w:val="lowerLetter"/>
      <w:lvlText w:val="%5."/>
      <w:lvlJc w:val="left"/>
      <w:pPr>
        <w:ind w:left="3600" w:hanging="360"/>
      </w:pPr>
    </w:lvl>
    <w:lvl w:ilvl="5" w:tplc="340A0005" w:tentative="1">
      <w:start w:val="1"/>
      <w:numFmt w:val="lowerRoman"/>
      <w:lvlText w:val="%6."/>
      <w:lvlJc w:val="right"/>
      <w:pPr>
        <w:ind w:left="4320" w:hanging="180"/>
      </w:pPr>
    </w:lvl>
    <w:lvl w:ilvl="6" w:tplc="340A0001" w:tentative="1">
      <w:start w:val="1"/>
      <w:numFmt w:val="decimal"/>
      <w:lvlText w:val="%7."/>
      <w:lvlJc w:val="left"/>
      <w:pPr>
        <w:ind w:left="5040" w:hanging="360"/>
      </w:pPr>
    </w:lvl>
    <w:lvl w:ilvl="7" w:tplc="340A0003" w:tentative="1">
      <w:start w:val="1"/>
      <w:numFmt w:val="lowerLetter"/>
      <w:lvlText w:val="%8."/>
      <w:lvlJc w:val="left"/>
      <w:pPr>
        <w:ind w:left="5760" w:hanging="360"/>
      </w:pPr>
    </w:lvl>
    <w:lvl w:ilvl="8" w:tplc="340A0005" w:tentative="1">
      <w:start w:val="1"/>
      <w:numFmt w:val="lowerRoman"/>
      <w:lvlText w:val="%9."/>
      <w:lvlJc w:val="right"/>
      <w:pPr>
        <w:ind w:left="6480" w:hanging="180"/>
      </w:pPr>
    </w:lvl>
  </w:abstractNum>
  <w:abstractNum w:abstractNumId="4" w15:restartNumberingAfterBreak="0">
    <w:nsid w:val="52E027B3"/>
    <w:multiLevelType w:val="hybridMultilevel"/>
    <w:tmpl w:val="1424079E"/>
    <w:lvl w:ilvl="0" w:tplc="A432C0CA">
      <w:start w:val="1"/>
      <w:numFmt w:val="decimal"/>
      <w:lvlText w:val="%1."/>
      <w:lvlJc w:val="left"/>
      <w:pPr>
        <w:ind w:left="720" w:hanging="360"/>
      </w:pPr>
    </w:lvl>
    <w:lvl w:ilvl="1" w:tplc="340A0003" w:tentative="1">
      <w:start w:val="1"/>
      <w:numFmt w:val="lowerLetter"/>
      <w:lvlText w:val="%2."/>
      <w:lvlJc w:val="left"/>
      <w:pPr>
        <w:ind w:left="1440" w:hanging="360"/>
      </w:pPr>
    </w:lvl>
    <w:lvl w:ilvl="2" w:tplc="340A0005" w:tentative="1">
      <w:start w:val="1"/>
      <w:numFmt w:val="lowerRoman"/>
      <w:lvlText w:val="%3."/>
      <w:lvlJc w:val="right"/>
      <w:pPr>
        <w:ind w:left="2160" w:hanging="180"/>
      </w:pPr>
    </w:lvl>
    <w:lvl w:ilvl="3" w:tplc="340A0001" w:tentative="1">
      <w:start w:val="1"/>
      <w:numFmt w:val="decimal"/>
      <w:lvlText w:val="%4."/>
      <w:lvlJc w:val="left"/>
      <w:pPr>
        <w:ind w:left="2880" w:hanging="360"/>
      </w:pPr>
    </w:lvl>
    <w:lvl w:ilvl="4" w:tplc="340A0003" w:tentative="1">
      <w:start w:val="1"/>
      <w:numFmt w:val="lowerLetter"/>
      <w:lvlText w:val="%5."/>
      <w:lvlJc w:val="left"/>
      <w:pPr>
        <w:ind w:left="3600" w:hanging="360"/>
      </w:pPr>
    </w:lvl>
    <w:lvl w:ilvl="5" w:tplc="340A0005" w:tentative="1">
      <w:start w:val="1"/>
      <w:numFmt w:val="lowerRoman"/>
      <w:lvlText w:val="%6."/>
      <w:lvlJc w:val="right"/>
      <w:pPr>
        <w:ind w:left="4320" w:hanging="180"/>
      </w:pPr>
    </w:lvl>
    <w:lvl w:ilvl="6" w:tplc="340A0001" w:tentative="1">
      <w:start w:val="1"/>
      <w:numFmt w:val="decimal"/>
      <w:lvlText w:val="%7."/>
      <w:lvlJc w:val="left"/>
      <w:pPr>
        <w:ind w:left="5040" w:hanging="360"/>
      </w:pPr>
    </w:lvl>
    <w:lvl w:ilvl="7" w:tplc="340A0003" w:tentative="1">
      <w:start w:val="1"/>
      <w:numFmt w:val="lowerLetter"/>
      <w:lvlText w:val="%8."/>
      <w:lvlJc w:val="left"/>
      <w:pPr>
        <w:ind w:left="5760" w:hanging="360"/>
      </w:pPr>
    </w:lvl>
    <w:lvl w:ilvl="8" w:tplc="340A0005" w:tentative="1">
      <w:start w:val="1"/>
      <w:numFmt w:val="lowerRoman"/>
      <w:lvlText w:val="%9."/>
      <w:lvlJc w:val="right"/>
      <w:pPr>
        <w:ind w:left="6480" w:hanging="180"/>
      </w:pPr>
    </w:lvl>
  </w:abstractNum>
  <w:abstractNum w:abstractNumId="5" w15:restartNumberingAfterBreak="0">
    <w:nsid w:val="7D550704"/>
    <w:multiLevelType w:val="hybridMultilevel"/>
    <w:tmpl w:val="F44ED7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56F"/>
    <w:rsid w:val="00000484"/>
    <w:rsid w:val="00001A0E"/>
    <w:rsid w:val="00013107"/>
    <w:rsid w:val="00020AC1"/>
    <w:rsid w:val="00024BB3"/>
    <w:rsid w:val="0007351C"/>
    <w:rsid w:val="000B23C5"/>
    <w:rsid w:val="000C28A3"/>
    <w:rsid w:val="000D5C96"/>
    <w:rsid w:val="000F2A3C"/>
    <w:rsid w:val="001546AF"/>
    <w:rsid w:val="00162B7E"/>
    <w:rsid w:val="00231F70"/>
    <w:rsid w:val="00265F03"/>
    <w:rsid w:val="00271569"/>
    <w:rsid w:val="002A17C7"/>
    <w:rsid w:val="002E190B"/>
    <w:rsid w:val="0032547A"/>
    <w:rsid w:val="00365315"/>
    <w:rsid w:val="003A4496"/>
    <w:rsid w:val="003D0C4E"/>
    <w:rsid w:val="00420FF5"/>
    <w:rsid w:val="00486C31"/>
    <w:rsid w:val="004E3D9C"/>
    <w:rsid w:val="004F256F"/>
    <w:rsid w:val="00511CE1"/>
    <w:rsid w:val="00536E6A"/>
    <w:rsid w:val="005A4387"/>
    <w:rsid w:val="0060694D"/>
    <w:rsid w:val="00610B9F"/>
    <w:rsid w:val="00653E92"/>
    <w:rsid w:val="00662AF2"/>
    <w:rsid w:val="006760F6"/>
    <w:rsid w:val="006864FA"/>
    <w:rsid w:val="00691A3E"/>
    <w:rsid w:val="00692EB0"/>
    <w:rsid w:val="0069568F"/>
    <w:rsid w:val="006E3D3F"/>
    <w:rsid w:val="006E6135"/>
    <w:rsid w:val="0081771D"/>
    <w:rsid w:val="00842F29"/>
    <w:rsid w:val="008B1959"/>
    <w:rsid w:val="008D3EDD"/>
    <w:rsid w:val="00966234"/>
    <w:rsid w:val="009D4785"/>
    <w:rsid w:val="009E7A45"/>
    <w:rsid w:val="009F5882"/>
    <w:rsid w:val="00A03D9E"/>
    <w:rsid w:val="00A16D11"/>
    <w:rsid w:val="00B6175D"/>
    <w:rsid w:val="00B81AAA"/>
    <w:rsid w:val="00B95463"/>
    <w:rsid w:val="00BA0872"/>
    <w:rsid w:val="00C33F2C"/>
    <w:rsid w:val="00C6085B"/>
    <w:rsid w:val="00C66E44"/>
    <w:rsid w:val="00C7083E"/>
    <w:rsid w:val="00CF6019"/>
    <w:rsid w:val="00D451FC"/>
    <w:rsid w:val="00D65A1F"/>
    <w:rsid w:val="00DC1592"/>
    <w:rsid w:val="00E40664"/>
    <w:rsid w:val="00E63213"/>
    <w:rsid w:val="00F63421"/>
    <w:rsid w:val="00F65083"/>
    <w:rsid w:val="00F67E81"/>
    <w:rsid w:val="00F72BA3"/>
    <w:rsid w:val="00F80740"/>
    <w:rsid w:val="00F934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267E"/>
  <w15:docId w15:val="{0CAAB5B9-5F99-4624-856E-03213C9F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 number Paragraph,List Paragraph (numbered (a)),Listenabsatz,SOP_bullet1,Bullet paras,Numbered Paragraph,Main numbered paragraph,List Paragraph (bulleted list),Bullet 1 List,List Paragraph1,Numbered List Paragraph,Bullets,References"/>
    <w:basedOn w:val="Normal"/>
    <w:link w:val="PrrafodelistaCar"/>
    <w:uiPriority w:val="34"/>
    <w:qFormat/>
    <w:rsid w:val="000B23C5"/>
    <w:pPr>
      <w:ind w:left="720"/>
      <w:contextualSpacing/>
      <w:jc w:val="both"/>
    </w:pPr>
  </w:style>
  <w:style w:type="character" w:customStyle="1" w:styleId="PrrafodelistaCar">
    <w:name w:val="Párrafo de lista Car"/>
    <w:aliases w:val="List number Paragraph Car,List Paragraph (numbered (a)) Car,Listenabsatz Car,SOP_bullet1 Car,Bullet paras Car,Numbered Paragraph Car,Main numbered paragraph Car,List Paragraph (bulleted list) Car,Bullet 1 List Car,Bullets Car"/>
    <w:basedOn w:val="Fuentedeprrafopredeter"/>
    <w:link w:val="Prrafodelista"/>
    <w:uiPriority w:val="34"/>
    <w:qFormat/>
    <w:locked/>
    <w:rsid w:val="000B23C5"/>
  </w:style>
  <w:style w:type="table" w:customStyle="1" w:styleId="Cuadrculamedia3-nfasis61">
    <w:name w:val="Cuadrícula media 3 - Énfasis 61"/>
    <w:basedOn w:val="Tablanormal"/>
    <w:next w:val="Cuadrculamedia3-nfasis6"/>
    <w:uiPriority w:val="69"/>
    <w:rsid w:val="00C33F2C"/>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Cuadrculamedia3-nfasis6">
    <w:name w:val="Medium Grid 3 Accent 6"/>
    <w:basedOn w:val="Tablanormal"/>
    <w:uiPriority w:val="69"/>
    <w:rsid w:val="00C33F2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Cuadrculamedia3-nfasis62">
    <w:name w:val="Cuadrícula media 3 - Énfasis 62"/>
    <w:basedOn w:val="Tablanormal"/>
    <w:next w:val="Cuadrculamedia3-nfasis6"/>
    <w:uiPriority w:val="69"/>
    <w:rsid w:val="00C33F2C"/>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Cuadrculamedia3-nfasis63">
    <w:name w:val="Cuadrícula media 3 - Énfasis 63"/>
    <w:basedOn w:val="Tablanormal"/>
    <w:next w:val="Cuadrculamedia3-nfasis6"/>
    <w:uiPriority w:val="69"/>
    <w:rsid w:val="000C28A3"/>
    <w:pPr>
      <w:spacing w:after="0" w:line="240" w:lineRule="auto"/>
    </w:pPr>
    <w:rPr>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2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5</Pages>
  <Words>1440</Words>
  <Characters>8212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dc:creator>
  <cp:lastModifiedBy>Daniel Montaner</cp:lastModifiedBy>
  <cp:revision>46</cp:revision>
  <dcterms:created xsi:type="dcterms:W3CDTF">2019-06-07T15:39:00Z</dcterms:created>
  <dcterms:modified xsi:type="dcterms:W3CDTF">2019-06-08T23:33:00Z</dcterms:modified>
</cp:coreProperties>
</file>